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3" w:rsidRDefault="004B7483" w:rsidP="003375DC">
      <w:pPr>
        <w:ind w:left="-284"/>
        <w:jc w:val="center"/>
        <w:rPr>
          <w:rFonts w:ascii="Calibri" w:hAnsi="Calibri" w:cs="Arial"/>
          <w:b/>
          <w:bCs/>
        </w:rPr>
      </w:pPr>
      <w:r w:rsidRPr="00B86B16">
        <w:rPr>
          <w:rFonts w:ascii="Calibri" w:hAnsi="Calibri" w:cs="Arial"/>
          <w:b/>
          <w:bCs/>
          <w:noProof/>
          <w:sz w:val="32"/>
          <w:szCs w:val="32"/>
          <w:lang w:eastAsia="es-MX"/>
        </w:rPr>
        <w:drawing>
          <wp:inline distT="0" distB="0" distL="0" distR="0" wp14:anchorId="42FA85CE" wp14:editId="1FEBF9DE">
            <wp:extent cx="5612130" cy="948690"/>
            <wp:effectExtent l="0" t="0" r="7620" b="3810"/>
            <wp:docPr id="6" name="Imagen 1" descr="Logos MGR-CONACYT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Imagen 1" descr="Logos MGR-CONACYT hor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948690"/>
                    </a:xfrm>
                    <a:prstGeom prst="rect">
                      <a:avLst/>
                    </a:prstGeom>
                    <a:noFill/>
                    <a:ln>
                      <a:noFill/>
                    </a:ln>
                    <a:extLst/>
                  </pic:spPr>
                </pic:pic>
              </a:graphicData>
            </a:graphic>
          </wp:inline>
        </w:drawing>
      </w:r>
    </w:p>
    <w:p w:rsidR="004B7483" w:rsidRPr="00C011B4" w:rsidRDefault="004B7483" w:rsidP="00C011B4">
      <w:pPr>
        <w:autoSpaceDE w:val="0"/>
        <w:autoSpaceDN w:val="0"/>
        <w:adjustRightInd w:val="0"/>
        <w:rPr>
          <w:rFonts w:ascii="Calibri" w:hAnsi="Calibri" w:cs="Arial"/>
          <w:b/>
          <w:bCs/>
          <w:sz w:val="28"/>
          <w:szCs w:val="28"/>
        </w:rPr>
      </w:pPr>
      <w:r w:rsidRPr="00AE5DD5">
        <w:rPr>
          <w:rFonts w:ascii="Calibri" w:hAnsi="Calibri" w:cs="Arial"/>
          <w:b/>
          <w:bCs/>
          <w:sz w:val="28"/>
          <w:szCs w:val="28"/>
          <w:lang w:val="es-ES"/>
        </w:rPr>
        <w:t>S</w:t>
      </w:r>
      <w:r w:rsidR="00C011B4">
        <w:rPr>
          <w:rFonts w:ascii="Calibri" w:hAnsi="Calibri" w:cs="Arial"/>
          <w:b/>
          <w:bCs/>
          <w:sz w:val="28"/>
          <w:szCs w:val="28"/>
          <w:lang w:val="es-ES"/>
        </w:rPr>
        <w:t>225</w:t>
      </w:r>
      <w:r w:rsidRPr="00AE5DD5">
        <w:rPr>
          <w:rFonts w:ascii="Calibri" w:hAnsi="Calibri" w:cs="Arial"/>
          <w:b/>
          <w:bCs/>
          <w:sz w:val="28"/>
          <w:szCs w:val="28"/>
          <w:lang w:val="es-ES"/>
        </w:rPr>
        <w:t xml:space="preserve"> </w:t>
      </w:r>
      <w:r w:rsidR="00C011B4" w:rsidRPr="00C011B4">
        <w:rPr>
          <w:rFonts w:ascii="Calibri" w:hAnsi="Calibri" w:cs="Arial"/>
          <w:b/>
          <w:bCs/>
          <w:sz w:val="28"/>
          <w:szCs w:val="28"/>
        </w:rPr>
        <w:t xml:space="preserve">Fortalecimiento en las Entidades Federativas </w:t>
      </w:r>
      <w:r w:rsidR="00C011B4">
        <w:rPr>
          <w:rFonts w:ascii="Calibri" w:hAnsi="Calibri" w:cs="Arial"/>
          <w:b/>
          <w:bCs/>
          <w:sz w:val="28"/>
          <w:szCs w:val="28"/>
        </w:rPr>
        <w:t xml:space="preserve">de las capacidades científicas, </w:t>
      </w:r>
      <w:r w:rsidR="00C011B4" w:rsidRPr="00C011B4">
        <w:rPr>
          <w:rFonts w:ascii="Calibri" w:hAnsi="Calibri" w:cs="Arial"/>
          <w:b/>
          <w:bCs/>
          <w:sz w:val="28"/>
          <w:szCs w:val="28"/>
        </w:rPr>
        <w:t>tecnológicas y de innovación</w:t>
      </w:r>
      <w:r w:rsidRPr="00C011B4">
        <w:rPr>
          <w:rFonts w:ascii="Calibri" w:hAnsi="Calibri" w:cs="Arial"/>
          <w:b/>
          <w:bCs/>
          <w:sz w:val="28"/>
          <w:szCs w:val="28"/>
        </w:rPr>
        <w:t xml:space="preserve"> </w:t>
      </w:r>
    </w:p>
    <w:p w:rsidR="004B7483" w:rsidRPr="005E47B6" w:rsidRDefault="004B7483" w:rsidP="005E47B6">
      <w:pPr>
        <w:ind w:left="-284"/>
        <w:jc w:val="center"/>
        <w:rPr>
          <w:rFonts w:ascii="Calibri" w:hAnsi="Calibri" w:cs="Arial"/>
          <w:b/>
          <w:bCs/>
          <w:sz w:val="28"/>
          <w:szCs w:val="28"/>
        </w:rPr>
      </w:pPr>
      <w:r w:rsidRPr="00AE5DD5">
        <w:rPr>
          <w:rFonts w:ascii="Calibri" w:hAnsi="Calibri" w:cs="Arial"/>
          <w:b/>
          <w:bCs/>
          <w:sz w:val="28"/>
          <w:szCs w:val="28"/>
        </w:rPr>
        <w:t>Evaluación Específica de Desempeño 2012-2013</w:t>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B7483" w:rsidTr="00BE66BB">
        <w:tc>
          <w:tcPr>
            <w:tcW w:w="6488" w:type="dxa"/>
            <w:shd w:val="clear" w:color="auto" w:fill="17365D" w:themeFill="text2" w:themeFillShade="BF"/>
          </w:tcPr>
          <w:p w:rsidR="004B7483" w:rsidRDefault="004B7483" w:rsidP="009D000E">
            <w:pPr>
              <w:jc w:val="center"/>
              <w:rPr>
                <w:rFonts w:ascii="Calibri" w:hAnsi="Calibri" w:cs="Arial"/>
                <w:b/>
                <w:bCs/>
              </w:rPr>
            </w:pPr>
            <w:r w:rsidRPr="000C119E">
              <w:rPr>
                <w:rFonts w:ascii="Calibri" w:hAnsi="Calibri" w:cs="Arial"/>
                <w:b/>
                <w:color w:val="FFFFFF"/>
                <w:sz w:val="18"/>
                <w:szCs w:val="18"/>
                <w:lang w:val="es-ES"/>
              </w:rPr>
              <w:t>Resultados y Recomendaciones</w:t>
            </w:r>
          </w:p>
        </w:tc>
        <w:tc>
          <w:tcPr>
            <w:tcW w:w="850"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rPr>
              <w:t>Página</w:t>
            </w:r>
          </w:p>
        </w:tc>
        <w:tc>
          <w:tcPr>
            <w:tcW w:w="6804"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lang w:val="es-ES"/>
              </w:rPr>
              <w:t xml:space="preserve">Argumento del área responsable del programa en relación a la adopción o no del resultado o recomendación (Posición Institucional) considerando los conceptos de </w:t>
            </w:r>
            <w:r w:rsidRPr="005D2B85">
              <w:rPr>
                <w:rFonts w:ascii="Calibri" w:hAnsi="Calibri" w:cs="Arial"/>
                <w:b/>
                <w:color w:val="FFFFFF"/>
                <w:sz w:val="18"/>
                <w:szCs w:val="18"/>
                <w:lang w:val="es-ES"/>
              </w:rPr>
              <w:t>Claridad, Relevancia, Justificación, Factibilidad</w:t>
            </w:r>
            <w:r w:rsidR="005C7F4F">
              <w:rPr>
                <w:rFonts w:ascii="Calibri" w:hAnsi="Calibri" w:cs="Arial"/>
                <w:b/>
                <w:color w:val="FFFFFF"/>
                <w:sz w:val="18"/>
                <w:szCs w:val="18"/>
                <w:lang w:val="es-ES"/>
              </w:rPr>
              <w:t xml:space="preserve"> </w:t>
            </w:r>
            <w:r w:rsidR="00263F0C">
              <w:rPr>
                <w:rFonts w:ascii="Calibri" w:hAnsi="Calibri" w:cs="Arial"/>
                <w:b/>
                <w:color w:val="FFFFFF"/>
                <w:sz w:val="18"/>
                <w:szCs w:val="18"/>
                <w:lang w:val="es-ES"/>
              </w:rPr>
              <w:t>(Ver definición al final del documento)</w:t>
            </w:r>
          </w:p>
        </w:tc>
      </w:tr>
      <w:tr w:rsidR="0049579C" w:rsidTr="00BE66BB">
        <w:tc>
          <w:tcPr>
            <w:tcW w:w="6488" w:type="dxa"/>
          </w:tcPr>
          <w:p w:rsidR="0049579C" w:rsidRDefault="0049579C" w:rsidP="00083E5D">
            <w:pPr>
              <w:rPr>
                <w:rFonts w:ascii="Arial" w:hAnsi="Arial" w:cs="Arial"/>
                <w:b/>
                <w:bCs/>
                <w:sz w:val="20"/>
                <w:szCs w:val="20"/>
                <w:lang w:eastAsia="es-MX"/>
              </w:rPr>
            </w:pPr>
            <w:r w:rsidRPr="00083E5D">
              <w:rPr>
                <w:rFonts w:ascii="Arial" w:hAnsi="Arial" w:cs="Arial"/>
                <w:b/>
                <w:bCs/>
                <w:sz w:val="20"/>
                <w:szCs w:val="20"/>
                <w:lang w:eastAsia="es-MX"/>
              </w:rPr>
              <w:t>Conclusiones del Evaluador Externo</w:t>
            </w:r>
          </w:p>
          <w:p w:rsidR="0049579C" w:rsidRPr="00083E5D" w:rsidRDefault="0049579C" w:rsidP="00C011B4">
            <w:pPr>
              <w:autoSpaceDE w:val="0"/>
              <w:autoSpaceDN w:val="0"/>
              <w:adjustRightInd w:val="0"/>
              <w:jc w:val="both"/>
              <w:rPr>
                <w:rFonts w:ascii="Arial" w:hAnsi="Arial" w:cs="Arial"/>
                <w:sz w:val="20"/>
                <w:szCs w:val="20"/>
                <w:lang w:eastAsia="es-MX"/>
              </w:rPr>
            </w:pPr>
            <w:r>
              <w:rPr>
                <w:rFonts w:ascii="Arial" w:hAnsi="Arial" w:cs="Arial"/>
                <w:sz w:val="20"/>
                <w:szCs w:val="20"/>
                <w:lang w:eastAsia="es-MX"/>
              </w:rPr>
              <w:t>1.- Los hallazgos derivados del análisis de evaluaciones previas están relacionados con la calidad de los indicadores. Si bien la valoración que dos diferentes equipos evaluadores realizaron es contraria (pues los primeros calificaron la validez interna de los indicadores de Fin y Propósito de forma positiva y los segundos de forma negativa), los indicadores a nivel de Fin y Propósito no miden los efectos del programa. A nivel de Fin, el indicador debería medir la contribución del programa al incremento de la investigación científica y el desarrollo tecnológico en los municipios y estados, sin embargo, al utilizar el indicador de "porcentaje de recursos económicos captados por los SLCTI" se asume que sólo al brindar recursos se incrementa la investigación científica y el desarrollo tecnológico. Este es un indicador de gestión, adecuado para el nivel de Componente</w:t>
            </w:r>
          </w:p>
        </w:tc>
        <w:tc>
          <w:tcPr>
            <w:tcW w:w="850" w:type="dxa"/>
            <w:vMerge w:val="restart"/>
          </w:tcPr>
          <w:p w:rsidR="0049579C" w:rsidRDefault="0049579C" w:rsidP="0049579C">
            <w:pPr>
              <w:jc w:val="center"/>
              <w:rPr>
                <w:rFonts w:ascii="Calibri" w:hAnsi="Calibri" w:cs="Arial"/>
                <w:b/>
                <w:bCs/>
              </w:rPr>
            </w:pPr>
            <w:r>
              <w:rPr>
                <w:rFonts w:ascii="Calibri" w:hAnsi="Calibri" w:cs="Arial"/>
                <w:b/>
                <w:bCs/>
              </w:rPr>
              <w:t>9/25</w:t>
            </w:r>
          </w:p>
        </w:tc>
        <w:tc>
          <w:tcPr>
            <w:tcW w:w="6804" w:type="dxa"/>
          </w:tcPr>
          <w:p w:rsidR="00BE12FF" w:rsidRDefault="006C4E8D" w:rsidP="00BE12FF">
            <w:pPr>
              <w:jc w:val="both"/>
              <w:rPr>
                <w:rFonts w:ascii="Arial" w:hAnsi="Arial" w:cs="Arial"/>
                <w:bCs/>
                <w:sz w:val="20"/>
              </w:rPr>
            </w:pPr>
            <w:r w:rsidRPr="006C4E8D">
              <w:rPr>
                <w:rFonts w:ascii="Arial" w:hAnsi="Arial" w:cs="Arial"/>
                <w:bCs/>
                <w:sz w:val="20"/>
              </w:rPr>
              <w:t>No aplica</w:t>
            </w:r>
            <w:r w:rsidR="00E3240D" w:rsidRPr="006C4E8D">
              <w:rPr>
                <w:rFonts w:ascii="Arial" w:hAnsi="Arial" w:cs="Arial"/>
                <w:bCs/>
                <w:sz w:val="20"/>
              </w:rPr>
              <w:t xml:space="preserve">. </w:t>
            </w:r>
            <w:r w:rsidR="00FD0030" w:rsidRPr="006C4E8D">
              <w:rPr>
                <w:rFonts w:ascii="Arial" w:hAnsi="Arial" w:cs="Arial"/>
                <w:bCs/>
                <w:sz w:val="20"/>
              </w:rPr>
              <w:t xml:space="preserve">El </w:t>
            </w:r>
            <w:proofErr w:type="spellStart"/>
            <w:r w:rsidR="00FD0030" w:rsidRPr="006C4E8D">
              <w:rPr>
                <w:rFonts w:ascii="Arial" w:hAnsi="Arial" w:cs="Arial"/>
                <w:bCs/>
                <w:sz w:val="20"/>
              </w:rPr>
              <w:t>Conacyt</w:t>
            </w:r>
            <w:proofErr w:type="spellEnd"/>
            <w:r w:rsidR="00FD0030" w:rsidRPr="006C4E8D">
              <w:rPr>
                <w:rFonts w:ascii="Arial" w:hAnsi="Arial" w:cs="Arial"/>
                <w:bCs/>
                <w:sz w:val="20"/>
              </w:rPr>
              <w:t>, considerando la relevancia y la calidad de los indicadores de las MIR</w:t>
            </w:r>
            <w:r w:rsidR="00BE12FF" w:rsidRPr="006C4E8D">
              <w:rPr>
                <w:rFonts w:ascii="Arial" w:hAnsi="Arial" w:cs="Arial"/>
                <w:bCs/>
                <w:sz w:val="20"/>
              </w:rPr>
              <w:t xml:space="preserve"> y tomando en cuenta las recomendacion</w:t>
            </w:r>
            <w:r>
              <w:rPr>
                <w:rFonts w:ascii="Arial" w:hAnsi="Arial" w:cs="Arial"/>
                <w:bCs/>
                <w:sz w:val="20"/>
              </w:rPr>
              <w:t>es vertidas en las evaluaciones</w:t>
            </w:r>
            <w:r w:rsidR="00FD0030" w:rsidRPr="006C4E8D">
              <w:rPr>
                <w:rFonts w:ascii="Arial" w:hAnsi="Arial" w:cs="Arial"/>
                <w:bCs/>
                <w:sz w:val="20"/>
              </w:rPr>
              <w:t xml:space="preserve">, realizó una revisión de los mismos para integrar la MIR 2014. </w:t>
            </w:r>
          </w:p>
          <w:p w:rsidR="006C4E8D" w:rsidRPr="006C4E8D" w:rsidRDefault="006C4E8D" w:rsidP="00BE12FF">
            <w:pPr>
              <w:jc w:val="both"/>
              <w:rPr>
                <w:rFonts w:ascii="Arial" w:hAnsi="Arial" w:cs="Arial"/>
                <w:bCs/>
                <w:sz w:val="20"/>
              </w:rPr>
            </w:pPr>
          </w:p>
          <w:p w:rsidR="0049579C" w:rsidRDefault="00FD0030" w:rsidP="00BE12FF">
            <w:pPr>
              <w:jc w:val="both"/>
              <w:rPr>
                <w:rFonts w:ascii="Calibri" w:hAnsi="Calibri" w:cs="Arial"/>
                <w:b/>
                <w:bCs/>
              </w:rPr>
            </w:pPr>
            <w:r w:rsidRPr="006C4E8D">
              <w:rPr>
                <w:rFonts w:ascii="Arial" w:hAnsi="Arial" w:cs="Arial"/>
                <w:bCs/>
                <w:sz w:val="20"/>
              </w:rPr>
              <w:t>Como resultado de la revisión, para el Programa S225, se modificaron entre otros,  los indicadores de Fin y de Propósito</w:t>
            </w:r>
            <w:r w:rsidR="00BE12FF" w:rsidRPr="006C4E8D">
              <w:rPr>
                <w:rFonts w:ascii="Arial" w:hAnsi="Arial" w:cs="Arial"/>
                <w:bCs/>
                <w:sz w:val="20"/>
              </w:rPr>
              <w:t>, por lo que consideramos atendida la recomendación.</w:t>
            </w:r>
          </w:p>
        </w:tc>
      </w:tr>
      <w:tr w:rsidR="0049579C" w:rsidTr="00BE66BB">
        <w:tc>
          <w:tcPr>
            <w:tcW w:w="6488" w:type="dxa"/>
          </w:tcPr>
          <w:p w:rsidR="0049579C" w:rsidRPr="003024F3"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2.- En lo que respecta al desempeño de los indicadores, prácticamente todos alcanzaron o superaron sus metas, excepto por el indicador de Fin (Porcentaje de recursos económicos captados por los </w:t>
            </w:r>
            <w:r w:rsidRPr="006C4E8D">
              <w:rPr>
                <w:rFonts w:ascii="Arial" w:hAnsi="Arial" w:cs="Arial"/>
                <w:sz w:val="20"/>
                <w:szCs w:val="20"/>
                <w:lang w:eastAsia="es-MX"/>
              </w:rPr>
              <w:t>Sistemas Locales de Ciencia Tecnología e Innovación). Sin embargo, al no existir criterios explícitos para definir las metas de los indicadores, es imposible determinar si el buen desempeño de ciertos indicadores es resultado de un buen desempeño del programa, o de metas laxas.</w:t>
            </w:r>
          </w:p>
        </w:tc>
        <w:tc>
          <w:tcPr>
            <w:tcW w:w="850" w:type="dxa"/>
            <w:vMerge/>
          </w:tcPr>
          <w:p w:rsidR="0049579C" w:rsidRDefault="0049579C" w:rsidP="0049579C">
            <w:pPr>
              <w:jc w:val="center"/>
              <w:rPr>
                <w:rFonts w:ascii="Calibri" w:hAnsi="Calibri" w:cs="Arial"/>
                <w:b/>
                <w:bCs/>
              </w:rPr>
            </w:pPr>
          </w:p>
        </w:tc>
        <w:tc>
          <w:tcPr>
            <w:tcW w:w="6804" w:type="dxa"/>
          </w:tcPr>
          <w:p w:rsidR="0049579C" w:rsidRPr="006C4E8D" w:rsidRDefault="00E3240D" w:rsidP="00E3240D">
            <w:pPr>
              <w:rPr>
                <w:rFonts w:ascii="Arial" w:hAnsi="Arial" w:cs="Arial"/>
                <w:bCs/>
                <w:sz w:val="20"/>
              </w:rPr>
            </w:pPr>
            <w:r w:rsidRPr="006C4E8D">
              <w:rPr>
                <w:rFonts w:ascii="Arial" w:hAnsi="Arial" w:cs="Arial"/>
                <w:bCs/>
                <w:sz w:val="20"/>
              </w:rPr>
              <w:t>No aplica, debido a que si existen c</w:t>
            </w:r>
            <w:r w:rsidR="00204EFC" w:rsidRPr="006C4E8D">
              <w:rPr>
                <w:rFonts w:ascii="Arial" w:hAnsi="Arial" w:cs="Arial"/>
                <w:bCs/>
                <w:sz w:val="20"/>
              </w:rPr>
              <w:t>riterios</w:t>
            </w:r>
            <w:r w:rsidRPr="006C4E8D">
              <w:rPr>
                <w:rFonts w:ascii="Arial" w:hAnsi="Arial" w:cs="Arial"/>
                <w:bCs/>
                <w:sz w:val="20"/>
              </w:rPr>
              <w:t xml:space="preserve"> para determinar las metas.</w:t>
            </w:r>
          </w:p>
        </w:tc>
      </w:tr>
      <w:tr w:rsidR="0049579C" w:rsidTr="00BE66BB">
        <w:tc>
          <w:tcPr>
            <w:tcW w:w="6488" w:type="dxa"/>
          </w:tcPr>
          <w:p w:rsidR="0049579C" w:rsidRPr="003024F3"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3. Las definiciones de las poblaciones potencial y objetivo no son correctas, </w:t>
            </w:r>
            <w:r w:rsidRPr="006C4E8D">
              <w:rPr>
                <w:rFonts w:ascii="Arial" w:hAnsi="Arial" w:cs="Arial"/>
                <w:sz w:val="20"/>
                <w:szCs w:val="20"/>
                <w:lang w:eastAsia="es-MX"/>
              </w:rPr>
              <w:t xml:space="preserve">pues éstas exceden el ámbito de actuación del programa </w:t>
            </w:r>
            <w:r>
              <w:rPr>
                <w:rFonts w:ascii="Arial" w:hAnsi="Arial" w:cs="Arial"/>
                <w:sz w:val="20"/>
                <w:szCs w:val="20"/>
                <w:lang w:eastAsia="es-MX"/>
              </w:rPr>
              <w:t>(es decir, no todas las entidades federativas tienen sistemas locales que necesitan ser "fortalecidos").</w:t>
            </w:r>
          </w:p>
        </w:tc>
        <w:tc>
          <w:tcPr>
            <w:tcW w:w="850" w:type="dxa"/>
            <w:vMerge/>
          </w:tcPr>
          <w:p w:rsidR="0049579C" w:rsidRDefault="0049579C" w:rsidP="0049579C">
            <w:pPr>
              <w:jc w:val="center"/>
              <w:rPr>
                <w:rFonts w:ascii="Calibri" w:hAnsi="Calibri" w:cs="Arial"/>
                <w:b/>
                <w:bCs/>
              </w:rPr>
            </w:pPr>
          </w:p>
        </w:tc>
        <w:tc>
          <w:tcPr>
            <w:tcW w:w="6804" w:type="dxa"/>
          </w:tcPr>
          <w:p w:rsidR="0049579C" w:rsidRPr="006C4E8D" w:rsidRDefault="00E3240D" w:rsidP="00732971">
            <w:pPr>
              <w:jc w:val="both"/>
              <w:rPr>
                <w:rFonts w:ascii="Arial" w:hAnsi="Arial" w:cs="Arial"/>
                <w:bCs/>
                <w:sz w:val="20"/>
              </w:rPr>
            </w:pPr>
            <w:r w:rsidRPr="006C4E8D">
              <w:rPr>
                <w:rFonts w:ascii="Arial" w:hAnsi="Arial" w:cs="Arial"/>
                <w:bCs/>
                <w:sz w:val="20"/>
              </w:rPr>
              <w:t xml:space="preserve">No aplica, debido a que </w:t>
            </w:r>
            <w:r w:rsidR="00732971" w:rsidRPr="006C4E8D">
              <w:rPr>
                <w:rFonts w:ascii="Arial" w:hAnsi="Arial" w:cs="Arial"/>
                <w:bCs/>
                <w:sz w:val="20"/>
              </w:rPr>
              <w:t>las definiciones establecidas por el programa están claramente planteadas.</w:t>
            </w:r>
          </w:p>
        </w:tc>
      </w:tr>
    </w:tbl>
    <w:p w:rsidR="005607A6" w:rsidRDefault="005607A6">
      <w:r>
        <w:br w:type="page"/>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9579C" w:rsidTr="00BE66BB">
        <w:tc>
          <w:tcPr>
            <w:tcW w:w="6488" w:type="dxa"/>
          </w:tcPr>
          <w:p w:rsidR="0049579C"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lastRenderedPageBreak/>
              <w:t xml:space="preserve">4. Al momento de la evaluación, el programa reporta un avance de 70% de los ASM. Sin embargo, dicho avance parece estar sobreestimado, pues de acuerdo con la evidencia proporcionada por el programa, se considera que, excepto por el tercer ASM, el programa ha sobreestimado el avance de los ASM relacionados con la </w:t>
            </w:r>
            <w:r w:rsidRPr="00901E68">
              <w:rPr>
                <w:rFonts w:ascii="Arial" w:hAnsi="Arial" w:cs="Arial"/>
                <w:sz w:val="20"/>
                <w:szCs w:val="20"/>
                <w:lang w:eastAsia="es-MX"/>
              </w:rPr>
              <w:t>aceleración de los tiempos de entrega y administración de recursos, así como con la necesidad de clarificar quién posee los derechos de los productos entregados.</w:t>
            </w:r>
          </w:p>
        </w:tc>
        <w:tc>
          <w:tcPr>
            <w:tcW w:w="850" w:type="dxa"/>
            <w:vMerge w:val="restart"/>
          </w:tcPr>
          <w:p w:rsidR="0049579C" w:rsidRDefault="0049579C" w:rsidP="0049579C">
            <w:pPr>
              <w:jc w:val="center"/>
              <w:rPr>
                <w:rFonts w:ascii="Calibri" w:hAnsi="Calibri" w:cs="Arial"/>
                <w:b/>
                <w:bCs/>
              </w:rPr>
            </w:pPr>
          </w:p>
        </w:tc>
        <w:tc>
          <w:tcPr>
            <w:tcW w:w="6804" w:type="dxa"/>
          </w:tcPr>
          <w:p w:rsidR="005607A6" w:rsidRDefault="005607A6" w:rsidP="005607A6">
            <w:pPr>
              <w:jc w:val="both"/>
              <w:rPr>
                <w:rFonts w:ascii="Arial" w:hAnsi="Arial" w:cs="Arial"/>
                <w:bCs/>
                <w:sz w:val="20"/>
              </w:rPr>
            </w:pPr>
            <w:r w:rsidRPr="006C4E8D">
              <w:rPr>
                <w:rFonts w:ascii="Arial" w:hAnsi="Arial" w:cs="Arial"/>
                <w:bCs/>
                <w:sz w:val="20"/>
              </w:rPr>
              <w:t xml:space="preserve">No aplica. </w:t>
            </w:r>
            <w:r>
              <w:rPr>
                <w:rFonts w:ascii="Arial" w:hAnsi="Arial" w:cs="Arial"/>
                <w:bCs/>
                <w:sz w:val="20"/>
              </w:rPr>
              <w:t>Durante 2013, e</w:t>
            </w:r>
            <w:r w:rsidRPr="006C4E8D">
              <w:rPr>
                <w:rFonts w:ascii="Arial" w:hAnsi="Arial" w:cs="Arial"/>
                <w:bCs/>
                <w:sz w:val="20"/>
              </w:rPr>
              <w:t xml:space="preserve">l </w:t>
            </w:r>
            <w:proofErr w:type="spellStart"/>
            <w:r w:rsidRPr="006C4E8D">
              <w:rPr>
                <w:rFonts w:ascii="Arial" w:hAnsi="Arial" w:cs="Arial"/>
                <w:bCs/>
                <w:sz w:val="20"/>
              </w:rPr>
              <w:t>Conacyt</w:t>
            </w:r>
            <w:proofErr w:type="spellEnd"/>
            <w:r w:rsidRPr="006C4E8D">
              <w:rPr>
                <w:rFonts w:ascii="Arial" w:hAnsi="Arial" w:cs="Arial"/>
                <w:bCs/>
                <w:sz w:val="20"/>
              </w:rPr>
              <w:t xml:space="preserve">, </w:t>
            </w:r>
            <w:r>
              <w:rPr>
                <w:rFonts w:ascii="Arial" w:hAnsi="Arial" w:cs="Arial"/>
                <w:bCs/>
                <w:sz w:val="20"/>
              </w:rPr>
              <w:t xml:space="preserve">realizó </w:t>
            </w:r>
            <w:r w:rsidRPr="005607A6">
              <w:rPr>
                <w:rFonts w:ascii="Arial" w:hAnsi="Arial" w:cs="Arial"/>
                <w:bCs/>
                <w:sz w:val="20"/>
              </w:rPr>
              <w:t>una reingeniería de los instrumentos normativos</w:t>
            </w:r>
            <w:r>
              <w:rPr>
                <w:rFonts w:ascii="Arial" w:hAnsi="Arial" w:cs="Arial"/>
                <w:bCs/>
                <w:sz w:val="20"/>
              </w:rPr>
              <w:t xml:space="preserve"> de los Fondos Mixtos</w:t>
            </w:r>
            <w:r w:rsidRPr="005607A6">
              <w:rPr>
                <w:rFonts w:ascii="Arial" w:hAnsi="Arial" w:cs="Arial"/>
                <w:bCs/>
                <w:sz w:val="20"/>
              </w:rPr>
              <w:t>. Esto se debe a que la normatividad de los mismos era heterogénea, estaba desactualizada y presentaba incongruencias y contradicciones. La Junta de Gobierno del CONACYT tomó el  acuerdo de revisar y en su caso modificar los contratos de fideicomiso y sus Reglas de operación, previstos en la Ley de Ciencia y Tecnología.</w:t>
            </w:r>
          </w:p>
          <w:p w:rsidR="005607A6" w:rsidRDefault="005607A6" w:rsidP="005607A6">
            <w:pPr>
              <w:jc w:val="both"/>
              <w:rPr>
                <w:rFonts w:ascii="Arial" w:hAnsi="Arial" w:cs="Arial"/>
                <w:bCs/>
                <w:sz w:val="20"/>
              </w:rPr>
            </w:pPr>
          </w:p>
          <w:p w:rsidR="005607A6" w:rsidRDefault="005607A6" w:rsidP="00E51694">
            <w:pPr>
              <w:jc w:val="both"/>
              <w:rPr>
                <w:rFonts w:ascii="Arial" w:hAnsi="Arial" w:cs="Arial"/>
                <w:bCs/>
                <w:sz w:val="20"/>
              </w:rPr>
            </w:pPr>
            <w:r>
              <w:rPr>
                <w:rFonts w:ascii="Arial" w:hAnsi="Arial" w:cs="Arial"/>
                <w:bCs/>
                <w:sz w:val="20"/>
              </w:rPr>
              <w:t>C</w:t>
            </w:r>
            <w:r w:rsidRPr="006C4E8D">
              <w:rPr>
                <w:rFonts w:ascii="Arial" w:hAnsi="Arial" w:cs="Arial"/>
                <w:bCs/>
                <w:sz w:val="20"/>
              </w:rPr>
              <w:t>omo resultado de la revisión,</w:t>
            </w:r>
            <w:r>
              <w:rPr>
                <w:rFonts w:ascii="Arial" w:hAnsi="Arial" w:cs="Arial"/>
                <w:bCs/>
                <w:sz w:val="20"/>
              </w:rPr>
              <w:t xml:space="preserve"> se presentó </w:t>
            </w:r>
            <w:r w:rsidRPr="006C4E8D">
              <w:rPr>
                <w:rFonts w:ascii="Arial" w:hAnsi="Arial" w:cs="Arial"/>
                <w:bCs/>
                <w:sz w:val="20"/>
              </w:rPr>
              <w:t xml:space="preserve"> </w:t>
            </w:r>
            <w:r w:rsidRPr="005607A6">
              <w:rPr>
                <w:rFonts w:ascii="Arial" w:hAnsi="Arial" w:cs="Arial"/>
                <w:bCs/>
                <w:sz w:val="20"/>
              </w:rPr>
              <w:t>la Modificación al Contrato de Fideicomiso y Reglas de O</w:t>
            </w:r>
            <w:r>
              <w:rPr>
                <w:rFonts w:ascii="Arial" w:hAnsi="Arial" w:cs="Arial"/>
                <w:bCs/>
                <w:sz w:val="20"/>
              </w:rPr>
              <w:t xml:space="preserve">peración de los “FONDOS MIXTOS” </w:t>
            </w:r>
            <w:proofErr w:type="gramStart"/>
            <w:r>
              <w:rPr>
                <w:rFonts w:ascii="Arial" w:hAnsi="Arial" w:cs="Arial"/>
                <w:bCs/>
                <w:sz w:val="20"/>
              </w:rPr>
              <w:t xml:space="preserve">a </w:t>
            </w:r>
            <w:r w:rsidRPr="005607A6">
              <w:rPr>
                <w:rFonts w:ascii="Arial" w:hAnsi="Arial" w:cs="Arial"/>
                <w:bCs/>
                <w:sz w:val="20"/>
              </w:rPr>
              <w:t>la</w:t>
            </w:r>
            <w:proofErr w:type="gramEnd"/>
            <w:r w:rsidRPr="005607A6">
              <w:rPr>
                <w:rFonts w:ascii="Arial" w:hAnsi="Arial" w:cs="Arial"/>
                <w:bCs/>
                <w:sz w:val="20"/>
              </w:rPr>
              <w:t xml:space="preserve"> H. Junta de Gobierno del CONACYT en la sesión del 03 de abril del 2014 </w:t>
            </w:r>
            <w:r>
              <w:rPr>
                <w:rFonts w:ascii="Arial" w:hAnsi="Arial" w:cs="Arial"/>
                <w:bCs/>
                <w:sz w:val="20"/>
              </w:rPr>
              <w:t>donde la misma fue aprobada.</w:t>
            </w:r>
            <w:r w:rsidRPr="005607A6">
              <w:rPr>
                <w:rFonts w:ascii="Arial" w:hAnsi="Arial" w:cs="Arial"/>
                <w:bCs/>
                <w:sz w:val="20"/>
              </w:rPr>
              <w:t xml:space="preserve"> </w:t>
            </w:r>
            <w:r w:rsidR="00F507DB">
              <w:rPr>
                <w:rFonts w:ascii="Arial" w:hAnsi="Arial" w:cs="Arial"/>
                <w:bCs/>
                <w:sz w:val="20"/>
              </w:rPr>
              <w:t>Las Reglas de Operación contemplan un capítulo de Propiedad Intelectual y de Transferencia de Resultados.</w:t>
            </w:r>
          </w:p>
          <w:p w:rsidR="005607A6" w:rsidRPr="006C4E8D" w:rsidRDefault="005607A6" w:rsidP="005607A6">
            <w:pPr>
              <w:rPr>
                <w:rFonts w:ascii="Arial" w:hAnsi="Arial" w:cs="Arial"/>
                <w:bCs/>
                <w:sz w:val="20"/>
              </w:rPr>
            </w:pPr>
          </w:p>
        </w:tc>
      </w:tr>
      <w:tr w:rsidR="0049579C" w:rsidTr="00BE66BB">
        <w:tc>
          <w:tcPr>
            <w:tcW w:w="6488" w:type="dxa"/>
          </w:tcPr>
          <w:p w:rsidR="0049579C" w:rsidRPr="0049579C"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5. A partir del informe de actividades a diciembre de 2012, el programa reporta que, con base en los recursos destinados, ha apoyado 124 % </w:t>
            </w:r>
            <w:r w:rsidRPr="006C4E8D">
              <w:rPr>
                <w:rFonts w:ascii="Arial" w:hAnsi="Arial" w:cs="Arial"/>
                <w:sz w:val="20"/>
                <w:szCs w:val="20"/>
                <w:lang w:eastAsia="es-MX"/>
              </w:rPr>
              <w:t>proyectos "con mayor impacto económico y social para atender problemas y fortalecer las capacidades en CTI", que en el sexenio anterior. Sin embargo, no hay elementos para sustentar esta información, pues este avance del programa está basado en el monto de los apoyos otorgados, y no en ningún indicador que realmente mida que los fondos destinados a los sistemas locales se traducen en proyectos con un impacto positivo en la generación de CTI y, por ende, e</w:t>
            </w:r>
            <w:bookmarkStart w:id="0" w:name="_GoBack"/>
            <w:bookmarkEnd w:id="0"/>
            <w:r w:rsidRPr="006C4E8D">
              <w:rPr>
                <w:rFonts w:ascii="Arial" w:hAnsi="Arial" w:cs="Arial"/>
                <w:sz w:val="20"/>
                <w:szCs w:val="20"/>
                <w:lang w:eastAsia="es-MX"/>
              </w:rPr>
              <w:t>n la descentralización de las actividades científicas, tecnológicas y de innovación</w:t>
            </w:r>
          </w:p>
        </w:tc>
        <w:tc>
          <w:tcPr>
            <w:tcW w:w="850" w:type="dxa"/>
            <w:vMerge/>
          </w:tcPr>
          <w:p w:rsidR="0049579C" w:rsidRDefault="0049579C" w:rsidP="008D58DD">
            <w:pPr>
              <w:jc w:val="center"/>
              <w:rPr>
                <w:rFonts w:ascii="Calibri" w:hAnsi="Calibri" w:cs="Arial"/>
                <w:b/>
                <w:bCs/>
              </w:rPr>
            </w:pPr>
          </w:p>
        </w:tc>
        <w:tc>
          <w:tcPr>
            <w:tcW w:w="6804" w:type="dxa"/>
          </w:tcPr>
          <w:p w:rsidR="0049579C" w:rsidRPr="006C4E8D" w:rsidRDefault="005146D7" w:rsidP="006C4E8D">
            <w:pPr>
              <w:jc w:val="both"/>
              <w:rPr>
                <w:rFonts w:ascii="Arial" w:hAnsi="Arial" w:cs="Arial"/>
                <w:bCs/>
                <w:sz w:val="20"/>
                <w:szCs w:val="20"/>
              </w:rPr>
            </w:pPr>
            <w:r w:rsidRPr="006C4E8D">
              <w:rPr>
                <w:rFonts w:ascii="Arial" w:hAnsi="Arial" w:cs="Arial"/>
                <w:bCs/>
                <w:sz w:val="20"/>
                <w:szCs w:val="20"/>
              </w:rPr>
              <w:t xml:space="preserve">No aplica, debido a que con el indicador de propósito de la MIR 2014 se mide la atención de la demanda de la entidad federativa. </w:t>
            </w:r>
          </w:p>
        </w:tc>
      </w:tr>
      <w:tr w:rsidR="0056520C" w:rsidTr="00BE66BB">
        <w:tc>
          <w:tcPr>
            <w:tcW w:w="6488" w:type="dxa"/>
          </w:tcPr>
          <w:p w:rsidR="0056520C" w:rsidRDefault="0056520C" w:rsidP="003024F3">
            <w:pPr>
              <w:rPr>
                <w:rFonts w:ascii="Arial" w:hAnsi="Arial" w:cs="Arial"/>
                <w:b/>
                <w:bCs/>
                <w:sz w:val="20"/>
                <w:szCs w:val="20"/>
                <w:lang w:eastAsia="es-MX"/>
              </w:rPr>
            </w:pPr>
            <w:r w:rsidRPr="000C16B1">
              <w:rPr>
                <w:rFonts w:ascii="Arial" w:hAnsi="Arial" w:cs="Arial"/>
                <w:b/>
                <w:bCs/>
                <w:sz w:val="20"/>
                <w:szCs w:val="20"/>
                <w:lang w:eastAsia="es-MX"/>
              </w:rPr>
              <w:t>Retos y Recomendaciones</w:t>
            </w:r>
          </w:p>
          <w:p w:rsidR="0056520C" w:rsidRPr="003024F3"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(1) Se recomienda modificar los indicadores de Fin y Propósito para que éstos den cuenta de los resultados que tiene el programa, pues los actuales son indicadores de gestión (que corresponden a otro nivel de la MIR).</w:t>
            </w:r>
          </w:p>
        </w:tc>
        <w:tc>
          <w:tcPr>
            <w:tcW w:w="850" w:type="dxa"/>
            <w:vMerge w:val="restart"/>
          </w:tcPr>
          <w:p w:rsidR="0056520C" w:rsidRDefault="0056520C" w:rsidP="0049579C">
            <w:pPr>
              <w:jc w:val="center"/>
              <w:rPr>
                <w:rFonts w:ascii="Calibri" w:hAnsi="Calibri" w:cs="Arial"/>
                <w:b/>
                <w:bCs/>
              </w:rPr>
            </w:pPr>
            <w:r>
              <w:rPr>
                <w:rFonts w:ascii="Calibri" w:hAnsi="Calibri" w:cs="Arial"/>
                <w:b/>
                <w:bCs/>
              </w:rPr>
              <w:t>1</w:t>
            </w:r>
            <w:r w:rsidR="0049579C">
              <w:rPr>
                <w:rFonts w:ascii="Calibri" w:hAnsi="Calibri" w:cs="Arial"/>
                <w:b/>
                <w:bCs/>
              </w:rPr>
              <w:t>0</w:t>
            </w:r>
            <w:r>
              <w:rPr>
                <w:rFonts w:ascii="Calibri" w:hAnsi="Calibri" w:cs="Arial"/>
                <w:b/>
                <w:bCs/>
              </w:rPr>
              <w:t>/2</w:t>
            </w:r>
            <w:r w:rsidR="0049579C">
              <w:rPr>
                <w:rFonts w:ascii="Calibri" w:hAnsi="Calibri" w:cs="Arial"/>
                <w:b/>
                <w:bCs/>
              </w:rPr>
              <w:t>5</w:t>
            </w:r>
          </w:p>
        </w:tc>
        <w:tc>
          <w:tcPr>
            <w:tcW w:w="6804" w:type="dxa"/>
          </w:tcPr>
          <w:p w:rsidR="006C4E8D" w:rsidRPr="006C4E8D" w:rsidRDefault="006C4E8D" w:rsidP="006C4E8D">
            <w:pPr>
              <w:jc w:val="both"/>
              <w:rPr>
                <w:rFonts w:ascii="Arial" w:hAnsi="Arial" w:cs="Arial"/>
                <w:bCs/>
                <w:sz w:val="20"/>
                <w:szCs w:val="20"/>
              </w:rPr>
            </w:pPr>
            <w:r w:rsidRPr="006C4E8D">
              <w:rPr>
                <w:rFonts w:ascii="Arial" w:hAnsi="Arial" w:cs="Arial"/>
                <w:bCs/>
                <w:sz w:val="20"/>
                <w:szCs w:val="20"/>
              </w:rPr>
              <w:t xml:space="preserve">No aplica. El </w:t>
            </w:r>
            <w:proofErr w:type="spellStart"/>
            <w:r w:rsidRPr="006C4E8D">
              <w:rPr>
                <w:rFonts w:ascii="Arial" w:hAnsi="Arial" w:cs="Arial"/>
                <w:bCs/>
                <w:sz w:val="20"/>
                <w:szCs w:val="20"/>
              </w:rPr>
              <w:t>Conacyt</w:t>
            </w:r>
            <w:proofErr w:type="spellEnd"/>
            <w:r w:rsidRPr="006C4E8D">
              <w:rPr>
                <w:rFonts w:ascii="Arial" w:hAnsi="Arial" w:cs="Arial"/>
                <w:bCs/>
                <w:sz w:val="20"/>
                <w:szCs w:val="20"/>
              </w:rPr>
              <w:t xml:space="preserve">, considerando la relevancia y la calidad de los indicadores de las MIR y tomando en cuenta las recomendaciones vertidas en las evaluaciones, realizó una revisión de los mismos para integrar la MIR 2014. </w:t>
            </w:r>
          </w:p>
          <w:p w:rsidR="006C4E8D" w:rsidRPr="006C4E8D" w:rsidRDefault="006C4E8D" w:rsidP="006C4E8D">
            <w:pPr>
              <w:jc w:val="both"/>
              <w:rPr>
                <w:rFonts w:ascii="Arial" w:hAnsi="Arial" w:cs="Arial"/>
                <w:bCs/>
                <w:sz w:val="20"/>
                <w:szCs w:val="20"/>
              </w:rPr>
            </w:pPr>
          </w:p>
          <w:p w:rsidR="0056520C" w:rsidRPr="006C4E8D" w:rsidRDefault="006C4E8D" w:rsidP="006C4E8D">
            <w:pPr>
              <w:jc w:val="both"/>
              <w:rPr>
                <w:rFonts w:ascii="Arial" w:hAnsi="Arial" w:cs="Arial"/>
                <w:bCs/>
                <w:sz w:val="20"/>
                <w:szCs w:val="20"/>
              </w:rPr>
            </w:pPr>
            <w:r w:rsidRPr="006C4E8D">
              <w:rPr>
                <w:rFonts w:ascii="Arial" w:hAnsi="Arial" w:cs="Arial"/>
                <w:bCs/>
                <w:sz w:val="20"/>
                <w:szCs w:val="20"/>
              </w:rPr>
              <w:t>Como resultado de la revisión, para el Programa S225, se modificaron entre otros,  los indicadores de Fin y de Propósito, por lo que consideramos atendida la recomendación.</w:t>
            </w:r>
          </w:p>
        </w:tc>
      </w:tr>
      <w:tr w:rsidR="0056520C" w:rsidTr="00BE66BB">
        <w:tc>
          <w:tcPr>
            <w:tcW w:w="6488" w:type="dxa"/>
          </w:tcPr>
          <w:p w:rsidR="0056520C" w:rsidRPr="003024F3"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(2) Además, se recomienda que el programa defina y haga explícitos los criterios mediante los cuales se definen las metas de los indicadores, a fin de que su desempeño pueda ser evaluado. Las tendencias históricas de los valores alcanzados son sólo útiles para definir la línea base, pero no para definir en qué medida deberán aumentar o disminuir las metas de un año a otro.</w:t>
            </w:r>
          </w:p>
        </w:tc>
        <w:tc>
          <w:tcPr>
            <w:tcW w:w="850" w:type="dxa"/>
            <w:vMerge/>
          </w:tcPr>
          <w:p w:rsidR="0056520C" w:rsidRDefault="0056520C" w:rsidP="008D58DD">
            <w:pPr>
              <w:jc w:val="center"/>
              <w:rPr>
                <w:rFonts w:ascii="Calibri" w:hAnsi="Calibri" w:cs="Arial"/>
                <w:b/>
                <w:bCs/>
              </w:rPr>
            </w:pPr>
          </w:p>
        </w:tc>
        <w:tc>
          <w:tcPr>
            <w:tcW w:w="6804" w:type="dxa"/>
          </w:tcPr>
          <w:p w:rsidR="0056520C" w:rsidRDefault="006C4E8D" w:rsidP="00BE12FF">
            <w:pPr>
              <w:rPr>
                <w:rFonts w:ascii="Calibri" w:hAnsi="Calibri" w:cs="Arial"/>
                <w:b/>
                <w:bCs/>
              </w:rPr>
            </w:pPr>
            <w:r w:rsidRPr="006C4E8D">
              <w:rPr>
                <w:rFonts w:ascii="Arial" w:hAnsi="Arial" w:cs="Arial"/>
                <w:bCs/>
                <w:sz w:val="20"/>
              </w:rPr>
              <w:t>No aplica, debido a que si existen criterios para determinar las metas.</w:t>
            </w:r>
          </w:p>
        </w:tc>
      </w:tr>
    </w:tbl>
    <w:p w:rsidR="000C2A93" w:rsidRDefault="000C2A93">
      <w:r>
        <w:br w:type="page"/>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56520C" w:rsidTr="00BE66BB">
        <w:tc>
          <w:tcPr>
            <w:tcW w:w="6488" w:type="dxa"/>
          </w:tcPr>
          <w:p w:rsidR="0056520C" w:rsidRPr="003024F3"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lastRenderedPageBreak/>
              <w:t>(3) Finalmente, es importante que el programa redefina sus poblaciones potencial y objetivo con el objeto de poder cuantificar, efectivamente, su cobertura.</w:t>
            </w:r>
          </w:p>
        </w:tc>
        <w:tc>
          <w:tcPr>
            <w:tcW w:w="850" w:type="dxa"/>
          </w:tcPr>
          <w:p w:rsidR="0056520C" w:rsidRDefault="0056520C" w:rsidP="008D58DD">
            <w:pPr>
              <w:jc w:val="center"/>
              <w:rPr>
                <w:rFonts w:ascii="Calibri" w:hAnsi="Calibri" w:cs="Arial"/>
                <w:b/>
                <w:bCs/>
              </w:rPr>
            </w:pPr>
          </w:p>
        </w:tc>
        <w:tc>
          <w:tcPr>
            <w:tcW w:w="6804" w:type="dxa"/>
          </w:tcPr>
          <w:p w:rsidR="0056520C" w:rsidRDefault="006C4E8D" w:rsidP="00BE12FF">
            <w:pPr>
              <w:rPr>
                <w:rFonts w:ascii="Calibri" w:hAnsi="Calibri" w:cs="Arial"/>
                <w:b/>
                <w:bCs/>
              </w:rPr>
            </w:pPr>
            <w:r w:rsidRPr="006C4E8D">
              <w:rPr>
                <w:rFonts w:ascii="Arial" w:hAnsi="Arial" w:cs="Arial"/>
                <w:bCs/>
                <w:sz w:val="20"/>
              </w:rPr>
              <w:t>No aplica, debido a que las definiciones establecidas por el programa están claramente planteadas.</w:t>
            </w:r>
          </w:p>
        </w:tc>
      </w:tr>
      <w:tr w:rsidR="004B7483" w:rsidTr="00BE66BB">
        <w:tc>
          <w:tcPr>
            <w:tcW w:w="6488" w:type="dxa"/>
          </w:tcPr>
          <w:p w:rsidR="0049579C" w:rsidRDefault="00DB748C" w:rsidP="0049579C">
            <w:pPr>
              <w:autoSpaceDE w:val="0"/>
              <w:autoSpaceDN w:val="0"/>
              <w:adjustRightInd w:val="0"/>
              <w:rPr>
                <w:rFonts w:ascii="Arial" w:hAnsi="Arial" w:cs="Arial"/>
                <w:b/>
                <w:bCs/>
                <w:sz w:val="20"/>
                <w:szCs w:val="20"/>
                <w:lang w:eastAsia="es-MX"/>
              </w:rPr>
            </w:pPr>
            <w:r w:rsidRPr="00DB748C">
              <w:rPr>
                <w:rFonts w:ascii="Arial" w:hAnsi="Arial" w:cs="Arial"/>
                <w:b/>
                <w:bCs/>
                <w:sz w:val="20"/>
                <w:szCs w:val="20"/>
                <w:lang w:eastAsia="es-MX"/>
              </w:rPr>
              <w:t>Observaciones Generales sobre los Indicadores Seleccionados</w:t>
            </w:r>
          </w:p>
          <w:p w:rsidR="0049579C" w:rsidRDefault="0049579C" w:rsidP="0049579C">
            <w:pPr>
              <w:autoSpaceDE w:val="0"/>
              <w:autoSpaceDN w:val="0"/>
              <w:adjustRightInd w:val="0"/>
              <w:jc w:val="both"/>
              <w:rPr>
                <w:rFonts w:ascii="Arial" w:hAnsi="Arial" w:cs="Arial"/>
                <w:sz w:val="20"/>
                <w:szCs w:val="20"/>
                <w:lang w:eastAsia="es-MX"/>
              </w:rPr>
            </w:pPr>
            <w:r w:rsidRPr="0049579C">
              <w:rPr>
                <w:rFonts w:ascii="Arial" w:hAnsi="Arial" w:cs="Arial"/>
                <w:bCs/>
                <w:sz w:val="20"/>
                <w:szCs w:val="20"/>
                <w:lang w:eastAsia="es-MX"/>
              </w:rPr>
              <w:t>A</w:t>
            </w:r>
            <w:r>
              <w:rPr>
                <w:rFonts w:ascii="Arial" w:hAnsi="Arial" w:cs="Arial"/>
                <w:b/>
                <w:bCs/>
                <w:sz w:val="20"/>
                <w:szCs w:val="20"/>
                <w:lang w:eastAsia="es-MX"/>
              </w:rPr>
              <w:t xml:space="preserve"> </w:t>
            </w:r>
            <w:r>
              <w:rPr>
                <w:rFonts w:ascii="Arial" w:hAnsi="Arial" w:cs="Arial"/>
                <w:sz w:val="20"/>
                <w:szCs w:val="20"/>
                <w:lang w:eastAsia="es-MX"/>
              </w:rPr>
              <w:t>nivel de Fin, el resumen narrativo del indicador enuncia que el programa contribuye "al incremento de la investigación científica y el desarrollo tecnológico en los municipios y estados</w:t>
            </w:r>
            <w:proofErr w:type="gramStart"/>
            <w:r>
              <w:rPr>
                <w:rFonts w:ascii="Arial" w:hAnsi="Arial" w:cs="Arial"/>
                <w:sz w:val="20"/>
                <w:szCs w:val="20"/>
                <w:lang w:eastAsia="es-MX"/>
              </w:rPr>
              <w:t>" .</w:t>
            </w:r>
            <w:proofErr w:type="gramEnd"/>
            <w:r>
              <w:rPr>
                <w:rFonts w:ascii="Arial" w:hAnsi="Arial" w:cs="Arial"/>
                <w:sz w:val="20"/>
                <w:szCs w:val="20"/>
                <w:lang w:eastAsia="es-MX"/>
              </w:rPr>
              <w:t xml:space="preserve"> Sin embargo, el indicador utilizado para medir dicha contribución es "Porcentaje de recursos económicos captados por los Sistemas Locales de Ciencia Tecnología e Innovación". Esto representa dos problemas. En primer lugar, el indicador utilizado es un indicador de gestión, es decir, no mide el impacto del programa, sino la forma en la que el programa gestiona los recursos. El segundo problema se deriva del primero, pues conocer la proporción de apoyos económicos captados por los Sistemas Locales de Ciencia Tecnología e Innovación, del total de apoyos económicos otorgados por el CONACYT a nivel nacional, no es indicativo de un aumento de la investigación científica y del desarrollo tecnológico en los municipios y estados. En otras palabras, al utilizar este indicador, el programa está partiendo de la base de que sólo con entregar un recurso económico aumenta la investigación y el desarrollo de tecnología.</w:t>
            </w:r>
          </w:p>
          <w:p w:rsidR="0049579C" w:rsidRDefault="0049579C" w:rsidP="0049579C">
            <w:pPr>
              <w:autoSpaceDE w:val="0"/>
              <w:autoSpaceDN w:val="0"/>
              <w:adjustRightInd w:val="0"/>
              <w:jc w:val="both"/>
              <w:rPr>
                <w:rFonts w:ascii="Arial" w:hAnsi="Arial" w:cs="Arial"/>
                <w:sz w:val="20"/>
                <w:szCs w:val="20"/>
                <w:lang w:eastAsia="es-MX"/>
              </w:rPr>
            </w:pPr>
          </w:p>
          <w:p w:rsidR="0049579C"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El resumen narrativo a nivel de Propósito debe enunciar el resultado obtenido a partir de los bienes y servicios que presta el programa. Sin embargo, el resumen narrativo define dicho resultado como "Sistemas Locales de Ciencia, Tecnología e Innovación fortalecidos". Es necesario conocer a qué se refiere el programa cuando dice "fortalecidos", a fin de valorar si los indicadores utilizados en este nivel realmente contribuyen a ello. En cualquier caso, el indicador que mide la variación de los recursos económicos captados por los Sistemas Locales apunta a que, otra vez, el programa considera que "el fortalecimiento" de dichos Sistemas se logra con sólo entregarles recursos económicos. </w:t>
            </w:r>
          </w:p>
          <w:p w:rsidR="0049579C" w:rsidRDefault="0049579C" w:rsidP="0049579C">
            <w:pPr>
              <w:autoSpaceDE w:val="0"/>
              <w:autoSpaceDN w:val="0"/>
              <w:adjustRightInd w:val="0"/>
              <w:jc w:val="both"/>
              <w:rPr>
                <w:rFonts w:ascii="Arial" w:hAnsi="Arial" w:cs="Arial"/>
                <w:sz w:val="20"/>
                <w:szCs w:val="20"/>
                <w:lang w:eastAsia="es-MX"/>
              </w:rPr>
            </w:pPr>
          </w:p>
          <w:p w:rsidR="00DB748C" w:rsidRPr="00DB748C" w:rsidRDefault="0049579C" w:rsidP="0049579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Finalmente, vale destacar que los indicadores a nivel de Componente son adecuados, pues cada uno de ellos está orientado a medir cada uno de los servicios/productos que el programa otorga</w:t>
            </w:r>
            <w:r w:rsidR="002A72CD">
              <w:rPr>
                <w:rFonts w:ascii="Arial" w:hAnsi="Arial" w:cs="Arial"/>
                <w:sz w:val="20"/>
                <w:szCs w:val="20"/>
                <w:lang w:eastAsia="es-MX"/>
              </w:rPr>
              <w:t>.</w:t>
            </w:r>
          </w:p>
        </w:tc>
        <w:tc>
          <w:tcPr>
            <w:tcW w:w="850" w:type="dxa"/>
          </w:tcPr>
          <w:p w:rsidR="004B7483" w:rsidRDefault="0049579C" w:rsidP="00891F02">
            <w:pPr>
              <w:jc w:val="center"/>
              <w:rPr>
                <w:rFonts w:ascii="Calibri" w:hAnsi="Calibri" w:cs="Arial"/>
                <w:b/>
                <w:bCs/>
              </w:rPr>
            </w:pPr>
            <w:r>
              <w:rPr>
                <w:rFonts w:ascii="Calibri" w:hAnsi="Calibri" w:cs="Arial"/>
                <w:b/>
                <w:bCs/>
              </w:rPr>
              <w:t>22</w:t>
            </w:r>
            <w:r w:rsidR="00DB748C">
              <w:rPr>
                <w:rFonts w:ascii="Calibri" w:hAnsi="Calibri" w:cs="Arial"/>
                <w:b/>
                <w:bCs/>
              </w:rPr>
              <w:t>/</w:t>
            </w:r>
            <w:r w:rsidR="00DC2541">
              <w:rPr>
                <w:rFonts w:ascii="Calibri" w:hAnsi="Calibri" w:cs="Arial"/>
                <w:b/>
                <w:bCs/>
              </w:rPr>
              <w:t>2</w:t>
            </w:r>
            <w:r w:rsidR="00891F02">
              <w:rPr>
                <w:rFonts w:ascii="Calibri" w:hAnsi="Calibri" w:cs="Arial"/>
                <w:b/>
                <w:bCs/>
              </w:rPr>
              <w:t>5</w:t>
            </w:r>
          </w:p>
        </w:tc>
        <w:tc>
          <w:tcPr>
            <w:tcW w:w="6804" w:type="dxa"/>
          </w:tcPr>
          <w:p w:rsidR="006C4E8D" w:rsidRDefault="006C4E8D" w:rsidP="006C4E8D">
            <w:pPr>
              <w:jc w:val="both"/>
              <w:rPr>
                <w:rFonts w:ascii="Arial" w:hAnsi="Arial" w:cs="Arial"/>
                <w:bCs/>
                <w:sz w:val="20"/>
              </w:rPr>
            </w:pPr>
            <w:r w:rsidRPr="006C4E8D">
              <w:rPr>
                <w:rFonts w:ascii="Arial" w:hAnsi="Arial" w:cs="Arial"/>
                <w:bCs/>
                <w:sz w:val="20"/>
              </w:rPr>
              <w:t xml:space="preserve">No aplica. El </w:t>
            </w:r>
            <w:proofErr w:type="spellStart"/>
            <w:r w:rsidRPr="006C4E8D">
              <w:rPr>
                <w:rFonts w:ascii="Arial" w:hAnsi="Arial" w:cs="Arial"/>
                <w:bCs/>
                <w:sz w:val="20"/>
              </w:rPr>
              <w:t>Conacyt</w:t>
            </w:r>
            <w:proofErr w:type="spellEnd"/>
            <w:r w:rsidRPr="006C4E8D">
              <w:rPr>
                <w:rFonts w:ascii="Arial" w:hAnsi="Arial" w:cs="Arial"/>
                <w:bCs/>
                <w:sz w:val="20"/>
              </w:rPr>
              <w:t>, considerando la relevancia y la calidad de los indicadores de las MIR y tomando en cuenta las recomendacion</w:t>
            </w:r>
            <w:r>
              <w:rPr>
                <w:rFonts w:ascii="Arial" w:hAnsi="Arial" w:cs="Arial"/>
                <w:bCs/>
                <w:sz w:val="20"/>
              </w:rPr>
              <w:t>es vertidas en las evaluaciones</w:t>
            </w:r>
            <w:r w:rsidRPr="006C4E8D">
              <w:rPr>
                <w:rFonts w:ascii="Arial" w:hAnsi="Arial" w:cs="Arial"/>
                <w:bCs/>
                <w:sz w:val="20"/>
              </w:rPr>
              <w:t xml:space="preserve">, realizó una revisión de los mismos para integrar la MIR 2014. </w:t>
            </w:r>
          </w:p>
          <w:p w:rsidR="006C4E8D" w:rsidRPr="006C4E8D" w:rsidRDefault="006C4E8D" w:rsidP="006C4E8D">
            <w:pPr>
              <w:jc w:val="both"/>
              <w:rPr>
                <w:rFonts w:ascii="Arial" w:hAnsi="Arial" w:cs="Arial"/>
                <w:bCs/>
                <w:sz w:val="20"/>
              </w:rPr>
            </w:pPr>
          </w:p>
          <w:p w:rsidR="00BE12FF" w:rsidRDefault="006C4E8D" w:rsidP="006C4E8D">
            <w:pPr>
              <w:jc w:val="both"/>
              <w:rPr>
                <w:rFonts w:ascii="Calibri" w:hAnsi="Calibri" w:cs="Arial"/>
                <w:b/>
                <w:bCs/>
              </w:rPr>
            </w:pPr>
            <w:r w:rsidRPr="006C4E8D">
              <w:rPr>
                <w:rFonts w:ascii="Arial" w:hAnsi="Arial" w:cs="Arial"/>
                <w:bCs/>
                <w:sz w:val="20"/>
              </w:rPr>
              <w:t>Como resultado de la revisión, para el Programa S225, se modificaron entre otros,  los indicadores de Fin y de Propósito, por lo que consideramos atendida la recomendación.</w:t>
            </w:r>
          </w:p>
        </w:tc>
      </w:tr>
    </w:tbl>
    <w:p w:rsidR="004B7483" w:rsidRDefault="004B7483" w:rsidP="004B7483">
      <w:pPr>
        <w:ind w:left="-284"/>
        <w:jc w:val="center"/>
        <w:rPr>
          <w:rFonts w:ascii="Calibri" w:hAnsi="Calibri" w:cs="Arial"/>
          <w:b/>
          <w:bCs/>
        </w:rPr>
      </w:pPr>
    </w:p>
    <w:p w:rsidR="004B7483" w:rsidRDefault="004B7483" w:rsidP="004B7483">
      <w:pPr>
        <w:ind w:left="-284"/>
        <w:jc w:val="center"/>
        <w:rPr>
          <w:rFonts w:ascii="Calibri" w:hAnsi="Calibri" w:cs="Arial"/>
          <w:b/>
          <w:bCs/>
        </w:rPr>
      </w:pPr>
      <w:r>
        <w:rPr>
          <w:rFonts w:ascii="Calibri" w:hAnsi="Calibri" w:cs="Arial"/>
          <w:b/>
          <w:bCs/>
        </w:rPr>
        <w:t>Claridad.- Estar expresado en forma precisa</w:t>
      </w:r>
    </w:p>
    <w:p w:rsidR="004B7483" w:rsidRDefault="004B7483" w:rsidP="004B7483">
      <w:pPr>
        <w:ind w:left="-284"/>
        <w:jc w:val="center"/>
        <w:rPr>
          <w:rFonts w:ascii="Calibri" w:hAnsi="Calibri" w:cs="Arial"/>
          <w:b/>
          <w:bCs/>
        </w:rPr>
      </w:pPr>
      <w:r>
        <w:rPr>
          <w:rFonts w:ascii="Calibri" w:hAnsi="Calibri" w:cs="Arial"/>
          <w:b/>
          <w:bCs/>
        </w:rPr>
        <w:t>Relevancia.- Ser una aportación específica y significativa para el logro del propósito y de los componentes del programa</w:t>
      </w:r>
    </w:p>
    <w:p w:rsidR="004B7483" w:rsidRDefault="004B7483" w:rsidP="004B7483">
      <w:pPr>
        <w:ind w:left="-284"/>
        <w:jc w:val="center"/>
        <w:rPr>
          <w:rFonts w:ascii="Calibri" w:hAnsi="Calibri" w:cs="Arial"/>
          <w:b/>
          <w:bCs/>
        </w:rPr>
      </w:pPr>
      <w:r>
        <w:rPr>
          <w:rFonts w:ascii="Calibri" w:hAnsi="Calibri" w:cs="Arial"/>
          <w:b/>
          <w:bCs/>
        </w:rPr>
        <w:lastRenderedPageBreak/>
        <w:t>Justificación.- Estar sustentado mediante la identificación de un problema, debilidad, oportunidad o amenaza</w:t>
      </w:r>
    </w:p>
    <w:p w:rsidR="004B7483" w:rsidRDefault="004B7483" w:rsidP="005607A6">
      <w:pPr>
        <w:ind w:left="-284"/>
        <w:jc w:val="center"/>
        <w:rPr>
          <w:rFonts w:ascii="Calibri" w:hAnsi="Calibri" w:cs="Arial"/>
          <w:b/>
          <w:bCs/>
        </w:rPr>
      </w:pPr>
      <w:r>
        <w:rPr>
          <w:rFonts w:ascii="Calibri" w:hAnsi="Calibri" w:cs="Arial"/>
          <w:b/>
          <w:bCs/>
        </w:rPr>
        <w:t>Factibilidad.- Ser viable de llevar a cabo en un plazo determinado, por una o varias instancias gubernamentales</w:t>
      </w:r>
    </w:p>
    <w:p w:rsidR="00393F52" w:rsidRDefault="00393F52" w:rsidP="0012417B">
      <w:pPr>
        <w:rPr>
          <w:rFonts w:ascii="Calibri" w:hAnsi="Calibri" w:cs="Arial"/>
          <w:b/>
          <w:bCs/>
        </w:rPr>
      </w:pPr>
    </w:p>
    <w:sectPr w:rsidR="00393F52" w:rsidSect="003375DC">
      <w:footerReference w:type="default" r:id="rId9"/>
      <w:pgSz w:w="15842" w:h="12242" w:orient="landscape" w:code="1"/>
      <w:pgMar w:top="851" w:right="11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9F" w:rsidRDefault="00AE4A9F" w:rsidP="00537DBD">
      <w:r>
        <w:separator/>
      </w:r>
    </w:p>
  </w:endnote>
  <w:endnote w:type="continuationSeparator" w:id="0">
    <w:p w:rsidR="00AE4A9F" w:rsidRDefault="00AE4A9F" w:rsidP="005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D" w:rsidRDefault="00F13DD5">
    <w:pPr>
      <w:pStyle w:val="Piedepgina"/>
      <w:jc w:val="right"/>
    </w:pPr>
    <w:r>
      <w:fldChar w:fldCharType="begin"/>
    </w:r>
    <w:r>
      <w:instrText xml:space="preserve"> PAGE   \* MERGEFORMAT </w:instrText>
    </w:r>
    <w:r>
      <w:fldChar w:fldCharType="separate"/>
    </w:r>
    <w:r w:rsidR="00542D2D">
      <w:rPr>
        <w:noProof/>
      </w:rPr>
      <w:t>3</w:t>
    </w:r>
    <w:r>
      <w:rPr>
        <w:noProof/>
      </w:rPr>
      <w:fldChar w:fldCharType="end"/>
    </w:r>
  </w:p>
  <w:p w:rsidR="00537DBD" w:rsidRPr="00542D2D" w:rsidRDefault="00542D2D">
    <w:pPr>
      <w:pStyle w:val="Piedepgina"/>
      <w:rPr>
        <w:sz w:val="16"/>
      </w:rPr>
    </w:pPr>
    <w:proofErr w:type="gramStart"/>
    <w:r w:rsidRPr="00542D2D">
      <w:rPr>
        <w:sz w:val="16"/>
      </w:rPr>
      <w:t>abr/2014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9F" w:rsidRDefault="00AE4A9F" w:rsidP="00537DBD">
      <w:r>
        <w:separator/>
      </w:r>
    </w:p>
  </w:footnote>
  <w:footnote w:type="continuationSeparator" w:id="0">
    <w:p w:rsidR="00AE4A9F" w:rsidRDefault="00AE4A9F" w:rsidP="0053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5F"/>
    <w:multiLevelType w:val="hybridMultilevel"/>
    <w:tmpl w:val="A388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E32671"/>
    <w:multiLevelType w:val="hybridMultilevel"/>
    <w:tmpl w:val="747055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8D25A2"/>
    <w:multiLevelType w:val="hybridMultilevel"/>
    <w:tmpl w:val="E5D2387A"/>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51980"/>
    <w:multiLevelType w:val="hybridMultilevel"/>
    <w:tmpl w:val="D7D0D8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07F28"/>
    <w:multiLevelType w:val="hybridMultilevel"/>
    <w:tmpl w:val="D78C8FD0"/>
    <w:lvl w:ilvl="0" w:tplc="131C70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17410"/>
    <w:multiLevelType w:val="hybridMultilevel"/>
    <w:tmpl w:val="9B6648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48D36D6"/>
    <w:multiLevelType w:val="hybridMultilevel"/>
    <w:tmpl w:val="F782F742"/>
    <w:lvl w:ilvl="0" w:tplc="080A0011">
      <w:start w:val="1"/>
      <w:numFmt w:val="decimal"/>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7">
    <w:nsid w:val="3B4C24D6"/>
    <w:multiLevelType w:val="hybridMultilevel"/>
    <w:tmpl w:val="84308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1F7A40"/>
    <w:multiLevelType w:val="hybridMultilevel"/>
    <w:tmpl w:val="A2AE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B394F"/>
    <w:multiLevelType w:val="hybridMultilevel"/>
    <w:tmpl w:val="C618211E"/>
    <w:lvl w:ilvl="0" w:tplc="19A89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C62E42"/>
    <w:multiLevelType w:val="hybridMultilevel"/>
    <w:tmpl w:val="BCA8F484"/>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183FB2"/>
    <w:multiLevelType w:val="hybridMultilevel"/>
    <w:tmpl w:val="98627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B33D96"/>
    <w:multiLevelType w:val="hybridMultilevel"/>
    <w:tmpl w:val="ADC86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9"/>
  </w:num>
  <w:num w:numId="7">
    <w:abstractNumId w:val="11"/>
  </w:num>
  <w:num w:numId="8">
    <w:abstractNumId w:val="6"/>
  </w:num>
  <w:num w:numId="9">
    <w:abstractNumId w:val="7"/>
  </w:num>
  <w:num w:numId="10">
    <w:abstractNumId w:val="8"/>
  </w:num>
  <w:num w:numId="11">
    <w:abstractNumId w:val="1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8E"/>
    <w:rsid w:val="00000BEE"/>
    <w:rsid w:val="000030BB"/>
    <w:rsid w:val="000034D0"/>
    <w:rsid w:val="00003EB5"/>
    <w:rsid w:val="00004CAA"/>
    <w:rsid w:val="00007780"/>
    <w:rsid w:val="00007901"/>
    <w:rsid w:val="00011FB4"/>
    <w:rsid w:val="0001248D"/>
    <w:rsid w:val="00013386"/>
    <w:rsid w:val="00013A51"/>
    <w:rsid w:val="00013CCA"/>
    <w:rsid w:val="00013D9E"/>
    <w:rsid w:val="00014198"/>
    <w:rsid w:val="00014C9F"/>
    <w:rsid w:val="00017499"/>
    <w:rsid w:val="00017ED5"/>
    <w:rsid w:val="00022624"/>
    <w:rsid w:val="00023320"/>
    <w:rsid w:val="00023CFD"/>
    <w:rsid w:val="000279BD"/>
    <w:rsid w:val="000279D0"/>
    <w:rsid w:val="0003132E"/>
    <w:rsid w:val="00031597"/>
    <w:rsid w:val="0003219E"/>
    <w:rsid w:val="000346B0"/>
    <w:rsid w:val="0003577B"/>
    <w:rsid w:val="00040DA8"/>
    <w:rsid w:val="0004267E"/>
    <w:rsid w:val="00044A15"/>
    <w:rsid w:val="00044E6B"/>
    <w:rsid w:val="00045A2D"/>
    <w:rsid w:val="00050BF2"/>
    <w:rsid w:val="00052993"/>
    <w:rsid w:val="000536CD"/>
    <w:rsid w:val="00053B73"/>
    <w:rsid w:val="000540AD"/>
    <w:rsid w:val="000559B6"/>
    <w:rsid w:val="00056026"/>
    <w:rsid w:val="00056938"/>
    <w:rsid w:val="00060697"/>
    <w:rsid w:val="0006125C"/>
    <w:rsid w:val="00062621"/>
    <w:rsid w:val="0007087B"/>
    <w:rsid w:val="00070BFA"/>
    <w:rsid w:val="0007220D"/>
    <w:rsid w:val="00072C3C"/>
    <w:rsid w:val="00073894"/>
    <w:rsid w:val="00075EFD"/>
    <w:rsid w:val="00081E2F"/>
    <w:rsid w:val="0008235F"/>
    <w:rsid w:val="00083E5D"/>
    <w:rsid w:val="00083E65"/>
    <w:rsid w:val="000850D4"/>
    <w:rsid w:val="00086F62"/>
    <w:rsid w:val="00087CC3"/>
    <w:rsid w:val="00093DDF"/>
    <w:rsid w:val="00093F3B"/>
    <w:rsid w:val="0009609F"/>
    <w:rsid w:val="000975FF"/>
    <w:rsid w:val="000A17AE"/>
    <w:rsid w:val="000A2413"/>
    <w:rsid w:val="000A3430"/>
    <w:rsid w:val="000A3A32"/>
    <w:rsid w:val="000A5AA3"/>
    <w:rsid w:val="000B055E"/>
    <w:rsid w:val="000B58F8"/>
    <w:rsid w:val="000C0DFB"/>
    <w:rsid w:val="000C119E"/>
    <w:rsid w:val="000C16B1"/>
    <w:rsid w:val="000C2A08"/>
    <w:rsid w:val="000C2A7B"/>
    <w:rsid w:val="000C2A93"/>
    <w:rsid w:val="000C4E90"/>
    <w:rsid w:val="000C6B0C"/>
    <w:rsid w:val="000C6C84"/>
    <w:rsid w:val="000C7D08"/>
    <w:rsid w:val="000E137A"/>
    <w:rsid w:val="000E1E83"/>
    <w:rsid w:val="000E4A53"/>
    <w:rsid w:val="000E5AE3"/>
    <w:rsid w:val="000E5F9C"/>
    <w:rsid w:val="000E6840"/>
    <w:rsid w:val="000E78AC"/>
    <w:rsid w:val="000F3264"/>
    <w:rsid w:val="00101814"/>
    <w:rsid w:val="00101F0F"/>
    <w:rsid w:val="00105BB5"/>
    <w:rsid w:val="001065B8"/>
    <w:rsid w:val="001113F6"/>
    <w:rsid w:val="001120FB"/>
    <w:rsid w:val="0011376B"/>
    <w:rsid w:val="001146B4"/>
    <w:rsid w:val="001150A8"/>
    <w:rsid w:val="00115586"/>
    <w:rsid w:val="0011620E"/>
    <w:rsid w:val="00117B3B"/>
    <w:rsid w:val="0012417B"/>
    <w:rsid w:val="001265B7"/>
    <w:rsid w:val="00131FDF"/>
    <w:rsid w:val="00133BC5"/>
    <w:rsid w:val="00133DBD"/>
    <w:rsid w:val="00134D3A"/>
    <w:rsid w:val="00134EF1"/>
    <w:rsid w:val="00141D60"/>
    <w:rsid w:val="00152833"/>
    <w:rsid w:val="0015708A"/>
    <w:rsid w:val="001637B4"/>
    <w:rsid w:val="0016511E"/>
    <w:rsid w:val="001678BB"/>
    <w:rsid w:val="00170A4D"/>
    <w:rsid w:val="00174C86"/>
    <w:rsid w:val="00177030"/>
    <w:rsid w:val="00177782"/>
    <w:rsid w:val="00180176"/>
    <w:rsid w:val="0018206D"/>
    <w:rsid w:val="001829A2"/>
    <w:rsid w:val="001840D3"/>
    <w:rsid w:val="001843C2"/>
    <w:rsid w:val="0018772F"/>
    <w:rsid w:val="00187EA1"/>
    <w:rsid w:val="00190BF3"/>
    <w:rsid w:val="0019298C"/>
    <w:rsid w:val="00195225"/>
    <w:rsid w:val="001A0B68"/>
    <w:rsid w:val="001A7412"/>
    <w:rsid w:val="001B4A42"/>
    <w:rsid w:val="001B4CED"/>
    <w:rsid w:val="001B7461"/>
    <w:rsid w:val="001C3832"/>
    <w:rsid w:val="001C4554"/>
    <w:rsid w:val="001C52FA"/>
    <w:rsid w:val="001D14C8"/>
    <w:rsid w:val="001D39C3"/>
    <w:rsid w:val="001D4C14"/>
    <w:rsid w:val="001D65F4"/>
    <w:rsid w:val="001E2A5E"/>
    <w:rsid w:val="001E2D5B"/>
    <w:rsid w:val="001E60DE"/>
    <w:rsid w:val="001E764D"/>
    <w:rsid w:val="001F16DA"/>
    <w:rsid w:val="001F193C"/>
    <w:rsid w:val="001F5A24"/>
    <w:rsid w:val="00201087"/>
    <w:rsid w:val="0020245A"/>
    <w:rsid w:val="0020338C"/>
    <w:rsid w:val="00204EFC"/>
    <w:rsid w:val="002067A9"/>
    <w:rsid w:val="00206F0D"/>
    <w:rsid w:val="00210193"/>
    <w:rsid w:val="0021705E"/>
    <w:rsid w:val="002205C4"/>
    <w:rsid w:val="0022238B"/>
    <w:rsid w:val="00222D03"/>
    <w:rsid w:val="002301C2"/>
    <w:rsid w:val="00230FAF"/>
    <w:rsid w:val="00231C9F"/>
    <w:rsid w:val="00233771"/>
    <w:rsid w:val="00234138"/>
    <w:rsid w:val="002351FF"/>
    <w:rsid w:val="00236D89"/>
    <w:rsid w:val="00236EBE"/>
    <w:rsid w:val="00240B67"/>
    <w:rsid w:val="002411C4"/>
    <w:rsid w:val="002441A8"/>
    <w:rsid w:val="00244E52"/>
    <w:rsid w:val="00245D25"/>
    <w:rsid w:val="00246677"/>
    <w:rsid w:val="00246812"/>
    <w:rsid w:val="00247C5C"/>
    <w:rsid w:val="00252B6C"/>
    <w:rsid w:val="00260128"/>
    <w:rsid w:val="00262B58"/>
    <w:rsid w:val="00263496"/>
    <w:rsid w:val="00263F0C"/>
    <w:rsid w:val="0027056D"/>
    <w:rsid w:val="00271EBF"/>
    <w:rsid w:val="00272C60"/>
    <w:rsid w:val="00273B40"/>
    <w:rsid w:val="00277C0F"/>
    <w:rsid w:val="00280728"/>
    <w:rsid w:val="002815EE"/>
    <w:rsid w:val="00282B29"/>
    <w:rsid w:val="00283112"/>
    <w:rsid w:val="002847BA"/>
    <w:rsid w:val="00286186"/>
    <w:rsid w:val="00287235"/>
    <w:rsid w:val="00287A38"/>
    <w:rsid w:val="00290505"/>
    <w:rsid w:val="002936BB"/>
    <w:rsid w:val="00296876"/>
    <w:rsid w:val="002A17C7"/>
    <w:rsid w:val="002A5E1A"/>
    <w:rsid w:val="002A705C"/>
    <w:rsid w:val="002A72CD"/>
    <w:rsid w:val="002A7997"/>
    <w:rsid w:val="002B7B12"/>
    <w:rsid w:val="002C06CF"/>
    <w:rsid w:val="002C0B98"/>
    <w:rsid w:val="002C509C"/>
    <w:rsid w:val="002C53CB"/>
    <w:rsid w:val="002C5CBF"/>
    <w:rsid w:val="002C7572"/>
    <w:rsid w:val="002D382C"/>
    <w:rsid w:val="002D3DF1"/>
    <w:rsid w:val="002D651B"/>
    <w:rsid w:val="002E383B"/>
    <w:rsid w:val="002E6BE3"/>
    <w:rsid w:val="002F1417"/>
    <w:rsid w:val="002F145C"/>
    <w:rsid w:val="002F1995"/>
    <w:rsid w:val="002F2DEF"/>
    <w:rsid w:val="002F53B8"/>
    <w:rsid w:val="002F69BF"/>
    <w:rsid w:val="002F6DFF"/>
    <w:rsid w:val="003024F3"/>
    <w:rsid w:val="00302ADA"/>
    <w:rsid w:val="00306F47"/>
    <w:rsid w:val="003119C5"/>
    <w:rsid w:val="0031248B"/>
    <w:rsid w:val="0031256D"/>
    <w:rsid w:val="00312684"/>
    <w:rsid w:val="003129EF"/>
    <w:rsid w:val="003151C7"/>
    <w:rsid w:val="003157B1"/>
    <w:rsid w:val="00317A82"/>
    <w:rsid w:val="00317CAF"/>
    <w:rsid w:val="00320E3E"/>
    <w:rsid w:val="00321E6B"/>
    <w:rsid w:val="003225E9"/>
    <w:rsid w:val="00332CBD"/>
    <w:rsid w:val="003337CE"/>
    <w:rsid w:val="00333D19"/>
    <w:rsid w:val="003357AA"/>
    <w:rsid w:val="003375DC"/>
    <w:rsid w:val="00340DD1"/>
    <w:rsid w:val="00345A79"/>
    <w:rsid w:val="0034694B"/>
    <w:rsid w:val="00347AA7"/>
    <w:rsid w:val="00351385"/>
    <w:rsid w:val="0035160A"/>
    <w:rsid w:val="00352272"/>
    <w:rsid w:val="003541DD"/>
    <w:rsid w:val="003550BC"/>
    <w:rsid w:val="00360A08"/>
    <w:rsid w:val="00361F70"/>
    <w:rsid w:val="00365BD8"/>
    <w:rsid w:val="0036605D"/>
    <w:rsid w:val="003669CD"/>
    <w:rsid w:val="0037106B"/>
    <w:rsid w:val="00372389"/>
    <w:rsid w:val="00372558"/>
    <w:rsid w:val="003733D1"/>
    <w:rsid w:val="00374B0A"/>
    <w:rsid w:val="00375155"/>
    <w:rsid w:val="00377B8D"/>
    <w:rsid w:val="00381F7F"/>
    <w:rsid w:val="00383BE2"/>
    <w:rsid w:val="00383EFA"/>
    <w:rsid w:val="00384A4D"/>
    <w:rsid w:val="003868CE"/>
    <w:rsid w:val="00387527"/>
    <w:rsid w:val="00387F9E"/>
    <w:rsid w:val="00391586"/>
    <w:rsid w:val="00393E19"/>
    <w:rsid w:val="00393F52"/>
    <w:rsid w:val="0039481C"/>
    <w:rsid w:val="00394B3A"/>
    <w:rsid w:val="003959A8"/>
    <w:rsid w:val="00396FB2"/>
    <w:rsid w:val="003A0E2A"/>
    <w:rsid w:val="003A195C"/>
    <w:rsid w:val="003A25BF"/>
    <w:rsid w:val="003A41A5"/>
    <w:rsid w:val="003A47BC"/>
    <w:rsid w:val="003A66EA"/>
    <w:rsid w:val="003A6E70"/>
    <w:rsid w:val="003A733F"/>
    <w:rsid w:val="003B0E00"/>
    <w:rsid w:val="003B3213"/>
    <w:rsid w:val="003B39B4"/>
    <w:rsid w:val="003B59B7"/>
    <w:rsid w:val="003C2D1B"/>
    <w:rsid w:val="003C4965"/>
    <w:rsid w:val="003C4F1B"/>
    <w:rsid w:val="003C52A4"/>
    <w:rsid w:val="003C5931"/>
    <w:rsid w:val="003D17BE"/>
    <w:rsid w:val="003D26A9"/>
    <w:rsid w:val="003D5411"/>
    <w:rsid w:val="003D5F0E"/>
    <w:rsid w:val="003E0117"/>
    <w:rsid w:val="003E0F7F"/>
    <w:rsid w:val="003E1619"/>
    <w:rsid w:val="003E1A30"/>
    <w:rsid w:val="003E4AA2"/>
    <w:rsid w:val="003E5122"/>
    <w:rsid w:val="003E7E45"/>
    <w:rsid w:val="003F1632"/>
    <w:rsid w:val="003F4C2D"/>
    <w:rsid w:val="003F57C1"/>
    <w:rsid w:val="003F606E"/>
    <w:rsid w:val="003F6740"/>
    <w:rsid w:val="003F73A2"/>
    <w:rsid w:val="004024D6"/>
    <w:rsid w:val="00402F42"/>
    <w:rsid w:val="00403232"/>
    <w:rsid w:val="00420EF4"/>
    <w:rsid w:val="004255D2"/>
    <w:rsid w:val="0042619C"/>
    <w:rsid w:val="00427409"/>
    <w:rsid w:val="004277A0"/>
    <w:rsid w:val="00427FEF"/>
    <w:rsid w:val="00433C45"/>
    <w:rsid w:val="00437DFF"/>
    <w:rsid w:val="00442CFF"/>
    <w:rsid w:val="004501DD"/>
    <w:rsid w:val="00450C9D"/>
    <w:rsid w:val="00452DDA"/>
    <w:rsid w:val="004536F2"/>
    <w:rsid w:val="0045534F"/>
    <w:rsid w:val="004553CA"/>
    <w:rsid w:val="004559A7"/>
    <w:rsid w:val="00455FF9"/>
    <w:rsid w:val="0045660F"/>
    <w:rsid w:val="00460C2A"/>
    <w:rsid w:val="004705C0"/>
    <w:rsid w:val="004712D0"/>
    <w:rsid w:val="0047345A"/>
    <w:rsid w:val="00477962"/>
    <w:rsid w:val="00477CA2"/>
    <w:rsid w:val="00481CEF"/>
    <w:rsid w:val="0048243E"/>
    <w:rsid w:val="00482492"/>
    <w:rsid w:val="00482914"/>
    <w:rsid w:val="0048383F"/>
    <w:rsid w:val="0048694D"/>
    <w:rsid w:val="004906CA"/>
    <w:rsid w:val="00491424"/>
    <w:rsid w:val="00492694"/>
    <w:rsid w:val="00492DC9"/>
    <w:rsid w:val="0049414D"/>
    <w:rsid w:val="0049579C"/>
    <w:rsid w:val="00496BD2"/>
    <w:rsid w:val="00497697"/>
    <w:rsid w:val="004A11ED"/>
    <w:rsid w:val="004A21AF"/>
    <w:rsid w:val="004A43CD"/>
    <w:rsid w:val="004A45D6"/>
    <w:rsid w:val="004B4AF2"/>
    <w:rsid w:val="004B7483"/>
    <w:rsid w:val="004C1AAA"/>
    <w:rsid w:val="004C3464"/>
    <w:rsid w:val="004C3ACF"/>
    <w:rsid w:val="004C6A18"/>
    <w:rsid w:val="004D087D"/>
    <w:rsid w:val="004D2132"/>
    <w:rsid w:val="004D470E"/>
    <w:rsid w:val="004D65C4"/>
    <w:rsid w:val="004E1415"/>
    <w:rsid w:val="004E2E3A"/>
    <w:rsid w:val="004E3354"/>
    <w:rsid w:val="004F0A08"/>
    <w:rsid w:val="004F14D4"/>
    <w:rsid w:val="004F2BFC"/>
    <w:rsid w:val="004F4082"/>
    <w:rsid w:val="004F5FFE"/>
    <w:rsid w:val="00501171"/>
    <w:rsid w:val="0050189C"/>
    <w:rsid w:val="005033D4"/>
    <w:rsid w:val="0050440A"/>
    <w:rsid w:val="00505992"/>
    <w:rsid w:val="00510229"/>
    <w:rsid w:val="005106A9"/>
    <w:rsid w:val="00510BA4"/>
    <w:rsid w:val="00511910"/>
    <w:rsid w:val="00511FAA"/>
    <w:rsid w:val="00512AAC"/>
    <w:rsid w:val="005146D7"/>
    <w:rsid w:val="0051618A"/>
    <w:rsid w:val="00517E9F"/>
    <w:rsid w:val="00520896"/>
    <w:rsid w:val="00521952"/>
    <w:rsid w:val="00522E47"/>
    <w:rsid w:val="0052451C"/>
    <w:rsid w:val="00525084"/>
    <w:rsid w:val="005314CA"/>
    <w:rsid w:val="00537DBD"/>
    <w:rsid w:val="005428B2"/>
    <w:rsid w:val="00542D2D"/>
    <w:rsid w:val="00543D14"/>
    <w:rsid w:val="00545A22"/>
    <w:rsid w:val="005465C7"/>
    <w:rsid w:val="00551F30"/>
    <w:rsid w:val="00552046"/>
    <w:rsid w:val="00555CB6"/>
    <w:rsid w:val="005577C5"/>
    <w:rsid w:val="005607A6"/>
    <w:rsid w:val="0056225C"/>
    <w:rsid w:val="00562F5B"/>
    <w:rsid w:val="0056520C"/>
    <w:rsid w:val="0056625E"/>
    <w:rsid w:val="0056684A"/>
    <w:rsid w:val="0056748D"/>
    <w:rsid w:val="005708D5"/>
    <w:rsid w:val="00570BFD"/>
    <w:rsid w:val="00570EC9"/>
    <w:rsid w:val="005759F4"/>
    <w:rsid w:val="0057619D"/>
    <w:rsid w:val="00576C66"/>
    <w:rsid w:val="0057748C"/>
    <w:rsid w:val="00581153"/>
    <w:rsid w:val="00582877"/>
    <w:rsid w:val="00583149"/>
    <w:rsid w:val="00585D3C"/>
    <w:rsid w:val="00586A63"/>
    <w:rsid w:val="00592B8C"/>
    <w:rsid w:val="00592CFC"/>
    <w:rsid w:val="00594483"/>
    <w:rsid w:val="005946D0"/>
    <w:rsid w:val="00594D8E"/>
    <w:rsid w:val="005950C1"/>
    <w:rsid w:val="00596243"/>
    <w:rsid w:val="00596B0E"/>
    <w:rsid w:val="0059785B"/>
    <w:rsid w:val="005A2C2C"/>
    <w:rsid w:val="005A2C64"/>
    <w:rsid w:val="005A62FF"/>
    <w:rsid w:val="005A7B2A"/>
    <w:rsid w:val="005B09AB"/>
    <w:rsid w:val="005B0CEB"/>
    <w:rsid w:val="005B108A"/>
    <w:rsid w:val="005B256D"/>
    <w:rsid w:val="005B36F2"/>
    <w:rsid w:val="005B3DBF"/>
    <w:rsid w:val="005B4BF9"/>
    <w:rsid w:val="005B7533"/>
    <w:rsid w:val="005B776C"/>
    <w:rsid w:val="005C1740"/>
    <w:rsid w:val="005C1955"/>
    <w:rsid w:val="005C31D1"/>
    <w:rsid w:val="005C43B0"/>
    <w:rsid w:val="005C43C6"/>
    <w:rsid w:val="005C4F4A"/>
    <w:rsid w:val="005C6510"/>
    <w:rsid w:val="005C7C6D"/>
    <w:rsid w:val="005C7F4F"/>
    <w:rsid w:val="005D0656"/>
    <w:rsid w:val="005D260E"/>
    <w:rsid w:val="005D2A4A"/>
    <w:rsid w:val="005D2B85"/>
    <w:rsid w:val="005D5E75"/>
    <w:rsid w:val="005D6AD5"/>
    <w:rsid w:val="005D793B"/>
    <w:rsid w:val="005E033D"/>
    <w:rsid w:val="005E25CA"/>
    <w:rsid w:val="005E3973"/>
    <w:rsid w:val="005E47B6"/>
    <w:rsid w:val="005F257A"/>
    <w:rsid w:val="005F33D4"/>
    <w:rsid w:val="005F5D0C"/>
    <w:rsid w:val="00600C94"/>
    <w:rsid w:val="00602139"/>
    <w:rsid w:val="00602878"/>
    <w:rsid w:val="00604629"/>
    <w:rsid w:val="0060556B"/>
    <w:rsid w:val="00605888"/>
    <w:rsid w:val="00605C79"/>
    <w:rsid w:val="00606043"/>
    <w:rsid w:val="00607821"/>
    <w:rsid w:val="00610321"/>
    <w:rsid w:val="00610BA1"/>
    <w:rsid w:val="00613547"/>
    <w:rsid w:val="006163B5"/>
    <w:rsid w:val="006235E6"/>
    <w:rsid w:val="0062378B"/>
    <w:rsid w:val="00624840"/>
    <w:rsid w:val="00624943"/>
    <w:rsid w:val="006264F7"/>
    <w:rsid w:val="00632FDC"/>
    <w:rsid w:val="00634D90"/>
    <w:rsid w:val="0063575A"/>
    <w:rsid w:val="006367B5"/>
    <w:rsid w:val="00646D81"/>
    <w:rsid w:val="00652B18"/>
    <w:rsid w:val="00652B2D"/>
    <w:rsid w:val="00652CDB"/>
    <w:rsid w:val="006535CF"/>
    <w:rsid w:val="00666462"/>
    <w:rsid w:val="00667309"/>
    <w:rsid w:val="00675F95"/>
    <w:rsid w:val="00682BD6"/>
    <w:rsid w:val="00684E3D"/>
    <w:rsid w:val="00685727"/>
    <w:rsid w:val="00686EC3"/>
    <w:rsid w:val="00690FD6"/>
    <w:rsid w:val="006926C0"/>
    <w:rsid w:val="00693E8B"/>
    <w:rsid w:val="00693F12"/>
    <w:rsid w:val="00697F61"/>
    <w:rsid w:val="006A0BD6"/>
    <w:rsid w:val="006A1356"/>
    <w:rsid w:val="006A3407"/>
    <w:rsid w:val="006A42E8"/>
    <w:rsid w:val="006A4EA9"/>
    <w:rsid w:val="006A5308"/>
    <w:rsid w:val="006A772F"/>
    <w:rsid w:val="006B3390"/>
    <w:rsid w:val="006B34D4"/>
    <w:rsid w:val="006B42C1"/>
    <w:rsid w:val="006B4F93"/>
    <w:rsid w:val="006B7975"/>
    <w:rsid w:val="006C0463"/>
    <w:rsid w:val="006C12BD"/>
    <w:rsid w:val="006C45C6"/>
    <w:rsid w:val="006C4E8D"/>
    <w:rsid w:val="006C696A"/>
    <w:rsid w:val="006C7FC5"/>
    <w:rsid w:val="006D4E2A"/>
    <w:rsid w:val="006E296B"/>
    <w:rsid w:val="006E46A2"/>
    <w:rsid w:val="006E78E9"/>
    <w:rsid w:val="006F19FF"/>
    <w:rsid w:val="006F31BA"/>
    <w:rsid w:val="006F7129"/>
    <w:rsid w:val="006F7B43"/>
    <w:rsid w:val="007008DD"/>
    <w:rsid w:val="00700E5A"/>
    <w:rsid w:val="007019B4"/>
    <w:rsid w:val="00702569"/>
    <w:rsid w:val="00702D53"/>
    <w:rsid w:val="007033F8"/>
    <w:rsid w:val="00703D50"/>
    <w:rsid w:val="00705FC0"/>
    <w:rsid w:val="00710E00"/>
    <w:rsid w:val="00722D85"/>
    <w:rsid w:val="00723D7E"/>
    <w:rsid w:val="0072585C"/>
    <w:rsid w:val="00731EA0"/>
    <w:rsid w:val="007324A1"/>
    <w:rsid w:val="00732540"/>
    <w:rsid w:val="00732971"/>
    <w:rsid w:val="00735256"/>
    <w:rsid w:val="007360BA"/>
    <w:rsid w:val="007368F2"/>
    <w:rsid w:val="00736EA8"/>
    <w:rsid w:val="00737FAC"/>
    <w:rsid w:val="00740F56"/>
    <w:rsid w:val="00741B4B"/>
    <w:rsid w:val="00745184"/>
    <w:rsid w:val="007461C3"/>
    <w:rsid w:val="00746DDA"/>
    <w:rsid w:val="00746DEC"/>
    <w:rsid w:val="00747E03"/>
    <w:rsid w:val="007536CB"/>
    <w:rsid w:val="00756B59"/>
    <w:rsid w:val="00760F15"/>
    <w:rsid w:val="00761068"/>
    <w:rsid w:val="00761B40"/>
    <w:rsid w:val="00762C21"/>
    <w:rsid w:val="00765C5F"/>
    <w:rsid w:val="0076626A"/>
    <w:rsid w:val="007676A8"/>
    <w:rsid w:val="0076790F"/>
    <w:rsid w:val="0077140F"/>
    <w:rsid w:val="0077313D"/>
    <w:rsid w:val="00774B3D"/>
    <w:rsid w:val="0077510A"/>
    <w:rsid w:val="0078008E"/>
    <w:rsid w:val="00782300"/>
    <w:rsid w:val="007841CD"/>
    <w:rsid w:val="007841E2"/>
    <w:rsid w:val="00785914"/>
    <w:rsid w:val="0079138B"/>
    <w:rsid w:val="0079224B"/>
    <w:rsid w:val="00792868"/>
    <w:rsid w:val="00794399"/>
    <w:rsid w:val="00795D5A"/>
    <w:rsid w:val="007963C3"/>
    <w:rsid w:val="007A0ABB"/>
    <w:rsid w:val="007A0F72"/>
    <w:rsid w:val="007A1338"/>
    <w:rsid w:val="007A32DE"/>
    <w:rsid w:val="007A38AC"/>
    <w:rsid w:val="007A6BF8"/>
    <w:rsid w:val="007A73C0"/>
    <w:rsid w:val="007B25DA"/>
    <w:rsid w:val="007B5D9E"/>
    <w:rsid w:val="007C1408"/>
    <w:rsid w:val="007C282B"/>
    <w:rsid w:val="007C32FA"/>
    <w:rsid w:val="007D061A"/>
    <w:rsid w:val="007D0ED9"/>
    <w:rsid w:val="007D1564"/>
    <w:rsid w:val="007D186C"/>
    <w:rsid w:val="007D191B"/>
    <w:rsid w:val="007D3A3E"/>
    <w:rsid w:val="007D3ACC"/>
    <w:rsid w:val="007D42B2"/>
    <w:rsid w:val="007D6A9A"/>
    <w:rsid w:val="007E15E4"/>
    <w:rsid w:val="007E20A9"/>
    <w:rsid w:val="007E2119"/>
    <w:rsid w:val="007E44A3"/>
    <w:rsid w:val="007E5140"/>
    <w:rsid w:val="007E55C2"/>
    <w:rsid w:val="007E569E"/>
    <w:rsid w:val="007E636B"/>
    <w:rsid w:val="007E67A7"/>
    <w:rsid w:val="007E6E8D"/>
    <w:rsid w:val="007F0BC3"/>
    <w:rsid w:val="007F3771"/>
    <w:rsid w:val="007F4A8D"/>
    <w:rsid w:val="008039D5"/>
    <w:rsid w:val="00803B94"/>
    <w:rsid w:val="00805331"/>
    <w:rsid w:val="008108C0"/>
    <w:rsid w:val="00812775"/>
    <w:rsid w:val="00812F95"/>
    <w:rsid w:val="0081391A"/>
    <w:rsid w:val="00815361"/>
    <w:rsid w:val="00815E3A"/>
    <w:rsid w:val="0082032A"/>
    <w:rsid w:val="008256B7"/>
    <w:rsid w:val="0082704D"/>
    <w:rsid w:val="00827670"/>
    <w:rsid w:val="008327D5"/>
    <w:rsid w:val="0084018D"/>
    <w:rsid w:val="00841B42"/>
    <w:rsid w:val="008430CA"/>
    <w:rsid w:val="00843489"/>
    <w:rsid w:val="0084380A"/>
    <w:rsid w:val="008439B8"/>
    <w:rsid w:val="00844AD1"/>
    <w:rsid w:val="00846962"/>
    <w:rsid w:val="00846AA9"/>
    <w:rsid w:val="008532BB"/>
    <w:rsid w:val="00853BDE"/>
    <w:rsid w:val="00854025"/>
    <w:rsid w:val="00855F84"/>
    <w:rsid w:val="008628D7"/>
    <w:rsid w:val="008629D5"/>
    <w:rsid w:val="0086319D"/>
    <w:rsid w:val="00865234"/>
    <w:rsid w:val="00865957"/>
    <w:rsid w:val="0087121B"/>
    <w:rsid w:val="00873947"/>
    <w:rsid w:val="00874048"/>
    <w:rsid w:val="008763AF"/>
    <w:rsid w:val="00880F3A"/>
    <w:rsid w:val="00887E9C"/>
    <w:rsid w:val="00891F02"/>
    <w:rsid w:val="008944A6"/>
    <w:rsid w:val="00897244"/>
    <w:rsid w:val="00897A18"/>
    <w:rsid w:val="008A021A"/>
    <w:rsid w:val="008A1B3C"/>
    <w:rsid w:val="008A2BBF"/>
    <w:rsid w:val="008A33C1"/>
    <w:rsid w:val="008A4970"/>
    <w:rsid w:val="008A4FA0"/>
    <w:rsid w:val="008B05E2"/>
    <w:rsid w:val="008B065D"/>
    <w:rsid w:val="008B2C87"/>
    <w:rsid w:val="008B3D1E"/>
    <w:rsid w:val="008C075D"/>
    <w:rsid w:val="008C1414"/>
    <w:rsid w:val="008C2504"/>
    <w:rsid w:val="008C31B0"/>
    <w:rsid w:val="008C37C2"/>
    <w:rsid w:val="008C3C7F"/>
    <w:rsid w:val="008C4CE6"/>
    <w:rsid w:val="008C5345"/>
    <w:rsid w:val="008C62F4"/>
    <w:rsid w:val="008D1D42"/>
    <w:rsid w:val="008D2421"/>
    <w:rsid w:val="008D58DD"/>
    <w:rsid w:val="008D7F82"/>
    <w:rsid w:val="008E0F12"/>
    <w:rsid w:val="008E1141"/>
    <w:rsid w:val="008E3C3E"/>
    <w:rsid w:val="008E4098"/>
    <w:rsid w:val="008F1E7E"/>
    <w:rsid w:val="008F2015"/>
    <w:rsid w:val="008F4335"/>
    <w:rsid w:val="008F753C"/>
    <w:rsid w:val="008F7EE2"/>
    <w:rsid w:val="00901E68"/>
    <w:rsid w:val="00903CE0"/>
    <w:rsid w:val="00907305"/>
    <w:rsid w:val="009101C6"/>
    <w:rsid w:val="00911250"/>
    <w:rsid w:val="009117EA"/>
    <w:rsid w:val="00911A1F"/>
    <w:rsid w:val="0091387E"/>
    <w:rsid w:val="00915CFF"/>
    <w:rsid w:val="00916405"/>
    <w:rsid w:val="00917337"/>
    <w:rsid w:val="009174F3"/>
    <w:rsid w:val="00917F7F"/>
    <w:rsid w:val="009234B4"/>
    <w:rsid w:val="0092373E"/>
    <w:rsid w:val="00925F72"/>
    <w:rsid w:val="009274D7"/>
    <w:rsid w:val="00935565"/>
    <w:rsid w:val="00936A6D"/>
    <w:rsid w:val="00936F27"/>
    <w:rsid w:val="0094165A"/>
    <w:rsid w:val="009418AA"/>
    <w:rsid w:val="00941CAF"/>
    <w:rsid w:val="0094309F"/>
    <w:rsid w:val="00943E2A"/>
    <w:rsid w:val="00944754"/>
    <w:rsid w:val="00944D72"/>
    <w:rsid w:val="00945FA5"/>
    <w:rsid w:val="009476B6"/>
    <w:rsid w:val="009479B7"/>
    <w:rsid w:val="00955F77"/>
    <w:rsid w:val="0095642B"/>
    <w:rsid w:val="00957927"/>
    <w:rsid w:val="0096044F"/>
    <w:rsid w:val="00961182"/>
    <w:rsid w:val="00962B55"/>
    <w:rsid w:val="00965C68"/>
    <w:rsid w:val="00967F71"/>
    <w:rsid w:val="009745E6"/>
    <w:rsid w:val="00974C37"/>
    <w:rsid w:val="00980A18"/>
    <w:rsid w:val="00985664"/>
    <w:rsid w:val="00986A41"/>
    <w:rsid w:val="0098741F"/>
    <w:rsid w:val="00992233"/>
    <w:rsid w:val="0099345A"/>
    <w:rsid w:val="009947A1"/>
    <w:rsid w:val="009963BB"/>
    <w:rsid w:val="009A228A"/>
    <w:rsid w:val="009A4169"/>
    <w:rsid w:val="009B2922"/>
    <w:rsid w:val="009B2A19"/>
    <w:rsid w:val="009B524A"/>
    <w:rsid w:val="009B752A"/>
    <w:rsid w:val="009C1C6A"/>
    <w:rsid w:val="009C20CE"/>
    <w:rsid w:val="009C2546"/>
    <w:rsid w:val="009C2B47"/>
    <w:rsid w:val="009C4590"/>
    <w:rsid w:val="009C49DA"/>
    <w:rsid w:val="009C643F"/>
    <w:rsid w:val="009C72BD"/>
    <w:rsid w:val="009C75BA"/>
    <w:rsid w:val="009D0922"/>
    <w:rsid w:val="009D3EF7"/>
    <w:rsid w:val="009D4B93"/>
    <w:rsid w:val="009D4E50"/>
    <w:rsid w:val="009D69C5"/>
    <w:rsid w:val="009D7315"/>
    <w:rsid w:val="009D7A2C"/>
    <w:rsid w:val="009E0D06"/>
    <w:rsid w:val="009E36F2"/>
    <w:rsid w:val="009E6A43"/>
    <w:rsid w:val="009F015D"/>
    <w:rsid w:val="009F451E"/>
    <w:rsid w:val="009F4AF4"/>
    <w:rsid w:val="009F4BCD"/>
    <w:rsid w:val="009F66BB"/>
    <w:rsid w:val="009F6D90"/>
    <w:rsid w:val="009F72FA"/>
    <w:rsid w:val="009F7E7F"/>
    <w:rsid w:val="00A000CC"/>
    <w:rsid w:val="00A00EA2"/>
    <w:rsid w:val="00A0104F"/>
    <w:rsid w:val="00A03ACF"/>
    <w:rsid w:val="00A04F9B"/>
    <w:rsid w:val="00A058BA"/>
    <w:rsid w:val="00A06089"/>
    <w:rsid w:val="00A11ACC"/>
    <w:rsid w:val="00A12114"/>
    <w:rsid w:val="00A14D40"/>
    <w:rsid w:val="00A15A47"/>
    <w:rsid w:val="00A17F46"/>
    <w:rsid w:val="00A234C8"/>
    <w:rsid w:val="00A24172"/>
    <w:rsid w:val="00A30DAD"/>
    <w:rsid w:val="00A316C2"/>
    <w:rsid w:val="00A3181E"/>
    <w:rsid w:val="00A31DD6"/>
    <w:rsid w:val="00A31EF2"/>
    <w:rsid w:val="00A33F3C"/>
    <w:rsid w:val="00A34C6B"/>
    <w:rsid w:val="00A406D2"/>
    <w:rsid w:val="00A46D1C"/>
    <w:rsid w:val="00A476F8"/>
    <w:rsid w:val="00A50BDF"/>
    <w:rsid w:val="00A53863"/>
    <w:rsid w:val="00A55269"/>
    <w:rsid w:val="00A55437"/>
    <w:rsid w:val="00A600EB"/>
    <w:rsid w:val="00A60602"/>
    <w:rsid w:val="00A606F0"/>
    <w:rsid w:val="00A70770"/>
    <w:rsid w:val="00A7090C"/>
    <w:rsid w:val="00A72699"/>
    <w:rsid w:val="00A7504D"/>
    <w:rsid w:val="00A756F7"/>
    <w:rsid w:val="00A77F14"/>
    <w:rsid w:val="00A803E6"/>
    <w:rsid w:val="00A84FE2"/>
    <w:rsid w:val="00A87706"/>
    <w:rsid w:val="00A94AD9"/>
    <w:rsid w:val="00A974DA"/>
    <w:rsid w:val="00A97721"/>
    <w:rsid w:val="00AA1498"/>
    <w:rsid w:val="00AA2E20"/>
    <w:rsid w:val="00AA3A74"/>
    <w:rsid w:val="00AA4208"/>
    <w:rsid w:val="00AA48CF"/>
    <w:rsid w:val="00AA68D5"/>
    <w:rsid w:val="00AA7410"/>
    <w:rsid w:val="00AA7D96"/>
    <w:rsid w:val="00AA7DCA"/>
    <w:rsid w:val="00AA7F12"/>
    <w:rsid w:val="00AB4E53"/>
    <w:rsid w:val="00AB6A98"/>
    <w:rsid w:val="00AB6C0A"/>
    <w:rsid w:val="00AC1CB9"/>
    <w:rsid w:val="00AC2489"/>
    <w:rsid w:val="00AC4C94"/>
    <w:rsid w:val="00AC5B8E"/>
    <w:rsid w:val="00AC71FB"/>
    <w:rsid w:val="00AD0273"/>
    <w:rsid w:val="00AD0BEF"/>
    <w:rsid w:val="00AD0DF4"/>
    <w:rsid w:val="00AD1CAB"/>
    <w:rsid w:val="00AD2442"/>
    <w:rsid w:val="00AD43C9"/>
    <w:rsid w:val="00AD51FC"/>
    <w:rsid w:val="00AD6450"/>
    <w:rsid w:val="00AD68F6"/>
    <w:rsid w:val="00AD6923"/>
    <w:rsid w:val="00AE0D12"/>
    <w:rsid w:val="00AE2D1F"/>
    <w:rsid w:val="00AE33A3"/>
    <w:rsid w:val="00AE4A9F"/>
    <w:rsid w:val="00AE5058"/>
    <w:rsid w:val="00AE53C6"/>
    <w:rsid w:val="00AE5DD5"/>
    <w:rsid w:val="00AE68B3"/>
    <w:rsid w:val="00AF1448"/>
    <w:rsid w:val="00AF1AD9"/>
    <w:rsid w:val="00AF1D78"/>
    <w:rsid w:val="00AF2720"/>
    <w:rsid w:val="00AF36AD"/>
    <w:rsid w:val="00AF54DC"/>
    <w:rsid w:val="00AF7132"/>
    <w:rsid w:val="00B004D7"/>
    <w:rsid w:val="00B02C09"/>
    <w:rsid w:val="00B04F96"/>
    <w:rsid w:val="00B05656"/>
    <w:rsid w:val="00B0604F"/>
    <w:rsid w:val="00B10708"/>
    <w:rsid w:val="00B10BB8"/>
    <w:rsid w:val="00B11B56"/>
    <w:rsid w:val="00B15343"/>
    <w:rsid w:val="00B1642E"/>
    <w:rsid w:val="00B172C2"/>
    <w:rsid w:val="00B22CC4"/>
    <w:rsid w:val="00B246FC"/>
    <w:rsid w:val="00B24C08"/>
    <w:rsid w:val="00B25481"/>
    <w:rsid w:val="00B27284"/>
    <w:rsid w:val="00B3045B"/>
    <w:rsid w:val="00B328F4"/>
    <w:rsid w:val="00B32D20"/>
    <w:rsid w:val="00B374B5"/>
    <w:rsid w:val="00B42003"/>
    <w:rsid w:val="00B432CC"/>
    <w:rsid w:val="00B434E8"/>
    <w:rsid w:val="00B4567C"/>
    <w:rsid w:val="00B53BA3"/>
    <w:rsid w:val="00B540DB"/>
    <w:rsid w:val="00B60F4C"/>
    <w:rsid w:val="00B60F8F"/>
    <w:rsid w:val="00B6507E"/>
    <w:rsid w:val="00B720AD"/>
    <w:rsid w:val="00B7567A"/>
    <w:rsid w:val="00B7675E"/>
    <w:rsid w:val="00B81ECD"/>
    <w:rsid w:val="00B83814"/>
    <w:rsid w:val="00B83E5B"/>
    <w:rsid w:val="00B83F25"/>
    <w:rsid w:val="00B8491C"/>
    <w:rsid w:val="00B86B16"/>
    <w:rsid w:val="00B86E81"/>
    <w:rsid w:val="00B91CA0"/>
    <w:rsid w:val="00B92CD2"/>
    <w:rsid w:val="00B93C2D"/>
    <w:rsid w:val="00BA310E"/>
    <w:rsid w:val="00BA64EA"/>
    <w:rsid w:val="00BA6E9C"/>
    <w:rsid w:val="00BB0027"/>
    <w:rsid w:val="00BB17C8"/>
    <w:rsid w:val="00BB2B9A"/>
    <w:rsid w:val="00BB36BA"/>
    <w:rsid w:val="00BB56D3"/>
    <w:rsid w:val="00BB69B2"/>
    <w:rsid w:val="00BC0AEB"/>
    <w:rsid w:val="00BC27E6"/>
    <w:rsid w:val="00BC4723"/>
    <w:rsid w:val="00BC6365"/>
    <w:rsid w:val="00BD133A"/>
    <w:rsid w:val="00BD4188"/>
    <w:rsid w:val="00BD500B"/>
    <w:rsid w:val="00BD5265"/>
    <w:rsid w:val="00BD53BE"/>
    <w:rsid w:val="00BD77B9"/>
    <w:rsid w:val="00BE08D8"/>
    <w:rsid w:val="00BE12FF"/>
    <w:rsid w:val="00BE314B"/>
    <w:rsid w:val="00BE3D9F"/>
    <w:rsid w:val="00BE66BB"/>
    <w:rsid w:val="00BE7731"/>
    <w:rsid w:val="00BE79EA"/>
    <w:rsid w:val="00BE7F12"/>
    <w:rsid w:val="00BF0625"/>
    <w:rsid w:val="00BF0947"/>
    <w:rsid w:val="00BF0B5D"/>
    <w:rsid w:val="00BF4C32"/>
    <w:rsid w:val="00BF7AE2"/>
    <w:rsid w:val="00C00AD9"/>
    <w:rsid w:val="00C011B4"/>
    <w:rsid w:val="00C05740"/>
    <w:rsid w:val="00C06D8D"/>
    <w:rsid w:val="00C1143C"/>
    <w:rsid w:val="00C11BA9"/>
    <w:rsid w:val="00C13CE7"/>
    <w:rsid w:val="00C17E17"/>
    <w:rsid w:val="00C22E68"/>
    <w:rsid w:val="00C237FD"/>
    <w:rsid w:val="00C26054"/>
    <w:rsid w:val="00C2614E"/>
    <w:rsid w:val="00C30C5C"/>
    <w:rsid w:val="00C3112B"/>
    <w:rsid w:val="00C311D5"/>
    <w:rsid w:val="00C315BA"/>
    <w:rsid w:val="00C31FA1"/>
    <w:rsid w:val="00C34592"/>
    <w:rsid w:val="00C348C2"/>
    <w:rsid w:val="00C35594"/>
    <w:rsid w:val="00C37315"/>
    <w:rsid w:val="00C3792B"/>
    <w:rsid w:val="00C40714"/>
    <w:rsid w:val="00C411B6"/>
    <w:rsid w:val="00C4420C"/>
    <w:rsid w:val="00C4435B"/>
    <w:rsid w:val="00C446BC"/>
    <w:rsid w:val="00C530CF"/>
    <w:rsid w:val="00C53277"/>
    <w:rsid w:val="00C548C7"/>
    <w:rsid w:val="00C54DE5"/>
    <w:rsid w:val="00C563AB"/>
    <w:rsid w:val="00C57B6B"/>
    <w:rsid w:val="00C60353"/>
    <w:rsid w:val="00C616CA"/>
    <w:rsid w:val="00C62905"/>
    <w:rsid w:val="00C62A5E"/>
    <w:rsid w:val="00C668F2"/>
    <w:rsid w:val="00C67EA3"/>
    <w:rsid w:val="00C704F4"/>
    <w:rsid w:val="00C7068D"/>
    <w:rsid w:val="00C719E3"/>
    <w:rsid w:val="00C75650"/>
    <w:rsid w:val="00C8002C"/>
    <w:rsid w:val="00C80776"/>
    <w:rsid w:val="00C83307"/>
    <w:rsid w:val="00C846B5"/>
    <w:rsid w:val="00C84F03"/>
    <w:rsid w:val="00C9031C"/>
    <w:rsid w:val="00C9123D"/>
    <w:rsid w:val="00C917C8"/>
    <w:rsid w:val="00C924A5"/>
    <w:rsid w:val="00C936DF"/>
    <w:rsid w:val="00C94E30"/>
    <w:rsid w:val="00CA059E"/>
    <w:rsid w:val="00CA1EE7"/>
    <w:rsid w:val="00CA5EEF"/>
    <w:rsid w:val="00CA60CC"/>
    <w:rsid w:val="00CB3862"/>
    <w:rsid w:val="00CB58C0"/>
    <w:rsid w:val="00CB79FF"/>
    <w:rsid w:val="00CB7B00"/>
    <w:rsid w:val="00CB7E59"/>
    <w:rsid w:val="00CC03D4"/>
    <w:rsid w:val="00CC651D"/>
    <w:rsid w:val="00CD4189"/>
    <w:rsid w:val="00CD4CFF"/>
    <w:rsid w:val="00CD5466"/>
    <w:rsid w:val="00CD7BD2"/>
    <w:rsid w:val="00CE0316"/>
    <w:rsid w:val="00CE0C90"/>
    <w:rsid w:val="00CE6725"/>
    <w:rsid w:val="00CE6D24"/>
    <w:rsid w:val="00CF21BC"/>
    <w:rsid w:val="00CF2826"/>
    <w:rsid w:val="00CF30A9"/>
    <w:rsid w:val="00CF38B1"/>
    <w:rsid w:val="00CF3D6A"/>
    <w:rsid w:val="00CF47C1"/>
    <w:rsid w:val="00CF5F98"/>
    <w:rsid w:val="00CF761F"/>
    <w:rsid w:val="00D00A12"/>
    <w:rsid w:val="00D02111"/>
    <w:rsid w:val="00D0432E"/>
    <w:rsid w:val="00D069E9"/>
    <w:rsid w:val="00D06A99"/>
    <w:rsid w:val="00D07683"/>
    <w:rsid w:val="00D11AA2"/>
    <w:rsid w:val="00D168AF"/>
    <w:rsid w:val="00D22554"/>
    <w:rsid w:val="00D230A7"/>
    <w:rsid w:val="00D23976"/>
    <w:rsid w:val="00D23999"/>
    <w:rsid w:val="00D23C53"/>
    <w:rsid w:val="00D2476D"/>
    <w:rsid w:val="00D25328"/>
    <w:rsid w:val="00D25C55"/>
    <w:rsid w:val="00D27847"/>
    <w:rsid w:val="00D31487"/>
    <w:rsid w:val="00D35AEA"/>
    <w:rsid w:val="00D37BD0"/>
    <w:rsid w:val="00D41065"/>
    <w:rsid w:val="00D411E1"/>
    <w:rsid w:val="00D42DC7"/>
    <w:rsid w:val="00D439A3"/>
    <w:rsid w:val="00D450AA"/>
    <w:rsid w:val="00D45799"/>
    <w:rsid w:val="00D513AE"/>
    <w:rsid w:val="00D52A85"/>
    <w:rsid w:val="00D539A4"/>
    <w:rsid w:val="00D55854"/>
    <w:rsid w:val="00D56690"/>
    <w:rsid w:val="00D71E88"/>
    <w:rsid w:val="00D72714"/>
    <w:rsid w:val="00D7303F"/>
    <w:rsid w:val="00D757E6"/>
    <w:rsid w:val="00D810D9"/>
    <w:rsid w:val="00D84AA2"/>
    <w:rsid w:val="00D84C0E"/>
    <w:rsid w:val="00D84E18"/>
    <w:rsid w:val="00D90A04"/>
    <w:rsid w:val="00D91F5A"/>
    <w:rsid w:val="00D928AD"/>
    <w:rsid w:val="00D95900"/>
    <w:rsid w:val="00D97317"/>
    <w:rsid w:val="00DA10BF"/>
    <w:rsid w:val="00DA16C3"/>
    <w:rsid w:val="00DA2CF2"/>
    <w:rsid w:val="00DA4184"/>
    <w:rsid w:val="00DA583A"/>
    <w:rsid w:val="00DA6AB3"/>
    <w:rsid w:val="00DB0969"/>
    <w:rsid w:val="00DB31F3"/>
    <w:rsid w:val="00DB50F9"/>
    <w:rsid w:val="00DB5418"/>
    <w:rsid w:val="00DB6859"/>
    <w:rsid w:val="00DB748C"/>
    <w:rsid w:val="00DC12CF"/>
    <w:rsid w:val="00DC2541"/>
    <w:rsid w:val="00DC4EB9"/>
    <w:rsid w:val="00DC5D12"/>
    <w:rsid w:val="00DD06DE"/>
    <w:rsid w:val="00DD168F"/>
    <w:rsid w:val="00DD23DA"/>
    <w:rsid w:val="00DD5679"/>
    <w:rsid w:val="00DD5D7C"/>
    <w:rsid w:val="00DD6247"/>
    <w:rsid w:val="00DE2291"/>
    <w:rsid w:val="00DE272E"/>
    <w:rsid w:val="00DE4B7E"/>
    <w:rsid w:val="00DE4CBF"/>
    <w:rsid w:val="00DE548B"/>
    <w:rsid w:val="00DE6A18"/>
    <w:rsid w:val="00DF341C"/>
    <w:rsid w:val="00DF3C72"/>
    <w:rsid w:val="00DF5DC8"/>
    <w:rsid w:val="00DF7AF0"/>
    <w:rsid w:val="00E02091"/>
    <w:rsid w:val="00E02221"/>
    <w:rsid w:val="00E02E4A"/>
    <w:rsid w:val="00E0440E"/>
    <w:rsid w:val="00E04FF1"/>
    <w:rsid w:val="00E05D7F"/>
    <w:rsid w:val="00E05EFA"/>
    <w:rsid w:val="00E130A1"/>
    <w:rsid w:val="00E16632"/>
    <w:rsid w:val="00E1739B"/>
    <w:rsid w:val="00E176EE"/>
    <w:rsid w:val="00E178E4"/>
    <w:rsid w:val="00E200A7"/>
    <w:rsid w:val="00E20205"/>
    <w:rsid w:val="00E215D0"/>
    <w:rsid w:val="00E22647"/>
    <w:rsid w:val="00E22CE1"/>
    <w:rsid w:val="00E23809"/>
    <w:rsid w:val="00E3074A"/>
    <w:rsid w:val="00E30B4D"/>
    <w:rsid w:val="00E3240D"/>
    <w:rsid w:val="00E425CE"/>
    <w:rsid w:val="00E4306A"/>
    <w:rsid w:val="00E43E69"/>
    <w:rsid w:val="00E46214"/>
    <w:rsid w:val="00E470D3"/>
    <w:rsid w:val="00E51694"/>
    <w:rsid w:val="00E546E9"/>
    <w:rsid w:val="00E55DF8"/>
    <w:rsid w:val="00E61907"/>
    <w:rsid w:val="00E621BE"/>
    <w:rsid w:val="00E63495"/>
    <w:rsid w:val="00E63805"/>
    <w:rsid w:val="00E67632"/>
    <w:rsid w:val="00E67754"/>
    <w:rsid w:val="00E70DA1"/>
    <w:rsid w:val="00E74C21"/>
    <w:rsid w:val="00E751B3"/>
    <w:rsid w:val="00E7584E"/>
    <w:rsid w:val="00E775D2"/>
    <w:rsid w:val="00E816CB"/>
    <w:rsid w:val="00E82DA3"/>
    <w:rsid w:val="00E83D12"/>
    <w:rsid w:val="00E84467"/>
    <w:rsid w:val="00E84824"/>
    <w:rsid w:val="00E85175"/>
    <w:rsid w:val="00E9207A"/>
    <w:rsid w:val="00E92678"/>
    <w:rsid w:val="00E9274A"/>
    <w:rsid w:val="00E92EAC"/>
    <w:rsid w:val="00E94F98"/>
    <w:rsid w:val="00E97864"/>
    <w:rsid w:val="00EA01D0"/>
    <w:rsid w:val="00EA4388"/>
    <w:rsid w:val="00EA7893"/>
    <w:rsid w:val="00EB0428"/>
    <w:rsid w:val="00EB232A"/>
    <w:rsid w:val="00EB2F17"/>
    <w:rsid w:val="00EB7580"/>
    <w:rsid w:val="00EC02E7"/>
    <w:rsid w:val="00EC064E"/>
    <w:rsid w:val="00EC32C8"/>
    <w:rsid w:val="00EC5FEB"/>
    <w:rsid w:val="00EC7E5F"/>
    <w:rsid w:val="00ED0476"/>
    <w:rsid w:val="00ED0E0C"/>
    <w:rsid w:val="00ED45AF"/>
    <w:rsid w:val="00ED5806"/>
    <w:rsid w:val="00ED76D1"/>
    <w:rsid w:val="00ED7A6F"/>
    <w:rsid w:val="00EE479B"/>
    <w:rsid w:val="00EE4F53"/>
    <w:rsid w:val="00EE53EB"/>
    <w:rsid w:val="00EE7714"/>
    <w:rsid w:val="00EE7A6D"/>
    <w:rsid w:val="00EE7BA2"/>
    <w:rsid w:val="00EF2DE7"/>
    <w:rsid w:val="00EF4201"/>
    <w:rsid w:val="00F00E9C"/>
    <w:rsid w:val="00F02191"/>
    <w:rsid w:val="00F03468"/>
    <w:rsid w:val="00F078CD"/>
    <w:rsid w:val="00F11944"/>
    <w:rsid w:val="00F13DD5"/>
    <w:rsid w:val="00F1671C"/>
    <w:rsid w:val="00F169E6"/>
    <w:rsid w:val="00F172BC"/>
    <w:rsid w:val="00F218E8"/>
    <w:rsid w:val="00F21947"/>
    <w:rsid w:val="00F25CDA"/>
    <w:rsid w:val="00F26C9B"/>
    <w:rsid w:val="00F270B1"/>
    <w:rsid w:val="00F31BF2"/>
    <w:rsid w:val="00F3271D"/>
    <w:rsid w:val="00F40BD8"/>
    <w:rsid w:val="00F42600"/>
    <w:rsid w:val="00F42985"/>
    <w:rsid w:val="00F46479"/>
    <w:rsid w:val="00F46567"/>
    <w:rsid w:val="00F507DB"/>
    <w:rsid w:val="00F51F07"/>
    <w:rsid w:val="00F52D9C"/>
    <w:rsid w:val="00F53C78"/>
    <w:rsid w:val="00F542B8"/>
    <w:rsid w:val="00F55C78"/>
    <w:rsid w:val="00F60D77"/>
    <w:rsid w:val="00F638D2"/>
    <w:rsid w:val="00F64844"/>
    <w:rsid w:val="00F661F3"/>
    <w:rsid w:val="00F67DC8"/>
    <w:rsid w:val="00F71F4D"/>
    <w:rsid w:val="00F72F2F"/>
    <w:rsid w:val="00F7353C"/>
    <w:rsid w:val="00F825A0"/>
    <w:rsid w:val="00F83A16"/>
    <w:rsid w:val="00F85865"/>
    <w:rsid w:val="00F85A7A"/>
    <w:rsid w:val="00F874B2"/>
    <w:rsid w:val="00F87D98"/>
    <w:rsid w:val="00F92AA8"/>
    <w:rsid w:val="00F93FAD"/>
    <w:rsid w:val="00FA7672"/>
    <w:rsid w:val="00FB1E01"/>
    <w:rsid w:val="00FB255C"/>
    <w:rsid w:val="00FB2F54"/>
    <w:rsid w:val="00FB49DB"/>
    <w:rsid w:val="00FB5030"/>
    <w:rsid w:val="00FB5A17"/>
    <w:rsid w:val="00FB65C3"/>
    <w:rsid w:val="00FB6798"/>
    <w:rsid w:val="00FC0659"/>
    <w:rsid w:val="00FC1949"/>
    <w:rsid w:val="00FC21F3"/>
    <w:rsid w:val="00FD0030"/>
    <w:rsid w:val="00FD158A"/>
    <w:rsid w:val="00FD282E"/>
    <w:rsid w:val="00FE55CF"/>
    <w:rsid w:val="00FE76C9"/>
    <w:rsid w:val="00FF0BC2"/>
    <w:rsid w:val="00FF1BC9"/>
    <w:rsid w:val="00FF3278"/>
    <w:rsid w:val="00FF3C8A"/>
    <w:rsid w:val="00FF4563"/>
    <w:rsid w:val="00FF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7A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7A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4582">
          <w:marLeft w:val="0"/>
          <w:marRight w:val="0"/>
          <w:marTop w:val="0"/>
          <w:marBottom w:val="0"/>
          <w:divBdr>
            <w:top w:val="none" w:sz="0" w:space="0" w:color="auto"/>
            <w:left w:val="none" w:sz="0" w:space="0" w:color="auto"/>
            <w:bottom w:val="none" w:sz="0" w:space="0" w:color="auto"/>
            <w:right w:val="none" w:sz="0" w:space="0" w:color="auto"/>
          </w:divBdr>
          <w:divsChild>
            <w:div w:id="777721468">
              <w:marLeft w:val="360"/>
              <w:marRight w:val="0"/>
              <w:marTop w:val="0"/>
              <w:marBottom w:val="0"/>
              <w:divBdr>
                <w:top w:val="none" w:sz="0" w:space="0" w:color="auto"/>
                <w:left w:val="none" w:sz="0" w:space="0" w:color="auto"/>
                <w:bottom w:val="none" w:sz="0" w:space="0" w:color="auto"/>
                <w:right w:val="none" w:sz="0" w:space="0" w:color="auto"/>
              </w:divBdr>
            </w:div>
          </w:divsChild>
        </w:div>
        <w:div w:id="12325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CZZDVQSJMDTX-11-7310</_dlc_DocId>
    <_dlc_DocIdUrl xmlns="571982ab-478d-447f-affd-9b4427d393f9">
      <Url>http://www.coneval.org.mx/_layouts/DocIdRedir.aspx?ID=CZZDVQSJMDTX-11-7310</Url>
      <Description>CZZDVQSJMDTX-11-7310</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https://www.coneval.org.mx/rw/resource/Mecanismos_2013/CONACYT/S-225_Fortalecimiento%20en%20las%20Entidades%20Federativas/38_S-225_PI.docx</Url>
      <Description>https://www.coneval.org.mx/rw/resource/Mecanismos_2013/CONACYT/S-225_Fortalecimiento en las Entidades Federativas/38_S-225_PI.docx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230</clave_documento>
    <programa_documento xmlns="571982ab-478d-447f-affd-9b4427d393f9">365</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2B455-ECB8-4B3A-A66A-99BD04262B52}"/>
</file>

<file path=customXml/itemProps2.xml><?xml version="1.0" encoding="utf-8"?>
<ds:datastoreItem xmlns:ds="http://schemas.openxmlformats.org/officeDocument/2006/customXml" ds:itemID="{C813659A-57F4-4FAC-9870-CD692C12B4E7}"/>
</file>

<file path=customXml/itemProps3.xml><?xml version="1.0" encoding="utf-8"?>
<ds:datastoreItem xmlns:ds="http://schemas.openxmlformats.org/officeDocument/2006/customXml" ds:itemID="{45ACE795-E8C6-4A57-8B03-1B242B7BC292}"/>
</file>

<file path=customXml/itemProps4.xml><?xml version="1.0" encoding="utf-8"?>
<ds:datastoreItem xmlns:ds="http://schemas.openxmlformats.org/officeDocument/2006/customXml" ds:itemID="{3B397652-F39C-452F-8501-339F19CC0183}"/>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Estimado Adrian</vt:lpstr>
    </vt:vector>
  </TitlesOfParts>
  <Company>CONACYT</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Adrian</dc:title>
  <dc:creator>Adrian Chamorro Casas</dc:creator>
  <cp:lastModifiedBy>Maribel Fosado Márquez</cp:lastModifiedBy>
  <cp:revision>6</cp:revision>
  <cp:lastPrinted>2014-04-22T22:43:00Z</cp:lastPrinted>
  <dcterms:created xsi:type="dcterms:W3CDTF">2014-04-23T23:29:00Z</dcterms:created>
  <dcterms:modified xsi:type="dcterms:W3CDTF">2014-04-23T23:31:00Z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f7fbeee7-4de9-4ff2-92a7-5596997ef925</vt:lpwstr>
  </property>
</Properties>
</file>