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83" w:rsidRDefault="004B7483" w:rsidP="003375DC">
      <w:pPr>
        <w:ind w:left="-284"/>
        <w:jc w:val="center"/>
        <w:rPr>
          <w:rFonts w:ascii="Calibri" w:hAnsi="Calibri" w:cs="Arial"/>
          <w:b/>
          <w:bCs/>
        </w:rPr>
      </w:pPr>
      <w:r w:rsidRPr="00B86B16">
        <w:rPr>
          <w:rFonts w:ascii="Calibri" w:hAnsi="Calibri" w:cs="Arial"/>
          <w:b/>
          <w:bCs/>
          <w:noProof/>
          <w:sz w:val="32"/>
          <w:szCs w:val="32"/>
          <w:lang w:eastAsia="es-MX"/>
        </w:rPr>
        <w:drawing>
          <wp:inline distT="0" distB="0" distL="0" distR="0" wp14:anchorId="42FA85CE" wp14:editId="1FEBF9DE">
            <wp:extent cx="5612130" cy="948690"/>
            <wp:effectExtent l="0" t="0" r="7620" b="3810"/>
            <wp:docPr id="6" name="Imagen 1" descr="Logos MGR-CONACYT h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Imagen 1" descr="Logos MGR-CONACYT hori.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948690"/>
                    </a:xfrm>
                    <a:prstGeom prst="rect">
                      <a:avLst/>
                    </a:prstGeom>
                    <a:noFill/>
                    <a:ln>
                      <a:noFill/>
                    </a:ln>
                    <a:extLst/>
                  </pic:spPr>
                </pic:pic>
              </a:graphicData>
            </a:graphic>
          </wp:inline>
        </w:drawing>
      </w:r>
    </w:p>
    <w:p w:rsidR="004B7483" w:rsidRPr="00C011B4" w:rsidRDefault="0039380B" w:rsidP="00F61B0E">
      <w:pPr>
        <w:autoSpaceDE w:val="0"/>
        <w:autoSpaceDN w:val="0"/>
        <w:adjustRightInd w:val="0"/>
        <w:jc w:val="center"/>
        <w:rPr>
          <w:rFonts w:ascii="Calibri" w:hAnsi="Calibri" w:cs="Arial"/>
          <w:b/>
          <w:bCs/>
          <w:sz w:val="28"/>
          <w:szCs w:val="28"/>
        </w:rPr>
      </w:pPr>
      <w:r>
        <w:rPr>
          <w:rFonts w:ascii="Calibri" w:hAnsi="Calibri" w:cs="Arial"/>
          <w:b/>
          <w:bCs/>
          <w:sz w:val="28"/>
          <w:szCs w:val="28"/>
          <w:lang w:val="es-ES"/>
        </w:rPr>
        <w:t>U00</w:t>
      </w:r>
      <w:r w:rsidR="00F61B0E">
        <w:rPr>
          <w:rFonts w:ascii="Calibri" w:hAnsi="Calibri" w:cs="Arial"/>
          <w:b/>
          <w:bCs/>
          <w:sz w:val="28"/>
          <w:szCs w:val="28"/>
          <w:lang w:val="es-ES"/>
        </w:rPr>
        <w:t>3</w:t>
      </w:r>
      <w:r w:rsidR="004B7483" w:rsidRPr="00AE5DD5">
        <w:rPr>
          <w:rFonts w:ascii="Calibri" w:hAnsi="Calibri" w:cs="Arial"/>
          <w:b/>
          <w:bCs/>
          <w:sz w:val="28"/>
          <w:szCs w:val="28"/>
          <w:lang w:val="es-ES"/>
        </w:rPr>
        <w:t xml:space="preserve"> </w:t>
      </w:r>
      <w:r w:rsidR="00F61B0E" w:rsidRPr="00F61B0E">
        <w:rPr>
          <w:rFonts w:ascii="Calibri" w:hAnsi="Calibri" w:cs="Arial"/>
          <w:b/>
          <w:bCs/>
          <w:sz w:val="28"/>
          <w:szCs w:val="28"/>
        </w:rPr>
        <w:t>Innovación tecnológica para negocios de alto valor agregado, tecnologías</w:t>
      </w:r>
      <w:r w:rsidR="00F61B0E">
        <w:rPr>
          <w:rFonts w:ascii="Calibri" w:hAnsi="Calibri" w:cs="Arial"/>
          <w:b/>
          <w:bCs/>
          <w:sz w:val="28"/>
          <w:szCs w:val="28"/>
        </w:rPr>
        <w:t xml:space="preserve"> </w:t>
      </w:r>
      <w:r w:rsidR="00F61B0E" w:rsidRPr="00F61B0E">
        <w:rPr>
          <w:rFonts w:ascii="Calibri" w:hAnsi="Calibri" w:cs="Arial"/>
          <w:b/>
          <w:bCs/>
          <w:sz w:val="28"/>
          <w:szCs w:val="28"/>
        </w:rPr>
        <w:t>precursoras y competitividad de las empresas</w:t>
      </w:r>
    </w:p>
    <w:p w:rsidR="004B7483" w:rsidRPr="005E47B6" w:rsidRDefault="004B7483" w:rsidP="005E47B6">
      <w:pPr>
        <w:ind w:left="-284"/>
        <w:jc w:val="center"/>
        <w:rPr>
          <w:rFonts w:ascii="Calibri" w:hAnsi="Calibri" w:cs="Arial"/>
          <w:b/>
          <w:bCs/>
          <w:sz w:val="28"/>
          <w:szCs w:val="28"/>
        </w:rPr>
      </w:pPr>
      <w:r w:rsidRPr="00AE5DD5">
        <w:rPr>
          <w:rFonts w:ascii="Calibri" w:hAnsi="Calibri" w:cs="Arial"/>
          <w:b/>
          <w:bCs/>
          <w:sz w:val="28"/>
          <w:szCs w:val="28"/>
        </w:rPr>
        <w:t>Evaluación Específica de Desempeño 2012-2013</w:t>
      </w:r>
    </w:p>
    <w:tbl>
      <w:tblPr>
        <w:tblStyle w:val="Tablaconcuadrcula"/>
        <w:tblW w:w="14142" w:type="dxa"/>
        <w:tblInd w:w="-284" w:type="dxa"/>
        <w:tblLayout w:type="fixed"/>
        <w:tblLook w:val="04A0" w:firstRow="1" w:lastRow="0" w:firstColumn="1" w:lastColumn="0" w:noHBand="0" w:noVBand="1"/>
      </w:tblPr>
      <w:tblGrid>
        <w:gridCol w:w="6488"/>
        <w:gridCol w:w="850"/>
        <w:gridCol w:w="6804"/>
      </w:tblGrid>
      <w:tr w:rsidR="004B7483" w:rsidTr="00BE66BB">
        <w:tc>
          <w:tcPr>
            <w:tcW w:w="6488" w:type="dxa"/>
            <w:shd w:val="clear" w:color="auto" w:fill="17365D" w:themeFill="text2" w:themeFillShade="BF"/>
          </w:tcPr>
          <w:p w:rsidR="004B7483" w:rsidRDefault="004B7483" w:rsidP="009D000E">
            <w:pPr>
              <w:jc w:val="center"/>
              <w:rPr>
                <w:rFonts w:ascii="Calibri" w:hAnsi="Calibri" w:cs="Arial"/>
                <w:b/>
                <w:bCs/>
              </w:rPr>
            </w:pPr>
            <w:r w:rsidRPr="000C119E">
              <w:rPr>
                <w:rFonts w:ascii="Calibri" w:hAnsi="Calibri" w:cs="Arial"/>
                <w:b/>
                <w:color w:val="FFFFFF"/>
                <w:sz w:val="18"/>
                <w:szCs w:val="18"/>
                <w:lang w:val="es-ES"/>
              </w:rPr>
              <w:t>Resultados y Recomendaciones</w:t>
            </w:r>
          </w:p>
        </w:tc>
        <w:tc>
          <w:tcPr>
            <w:tcW w:w="850" w:type="dxa"/>
            <w:shd w:val="clear" w:color="auto" w:fill="17365D" w:themeFill="text2" w:themeFillShade="BF"/>
          </w:tcPr>
          <w:p w:rsidR="004B7483" w:rsidRDefault="004B7483" w:rsidP="009D000E">
            <w:pPr>
              <w:jc w:val="center"/>
              <w:rPr>
                <w:rFonts w:ascii="Calibri" w:hAnsi="Calibri" w:cs="Arial"/>
                <w:b/>
                <w:bCs/>
              </w:rPr>
            </w:pPr>
            <w:r>
              <w:rPr>
                <w:rFonts w:ascii="Calibri" w:hAnsi="Calibri" w:cs="Arial"/>
                <w:b/>
                <w:color w:val="FFFFFF"/>
                <w:sz w:val="18"/>
                <w:szCs w:val="18"/>
              </w:rPr>
              <w:t>Página</w:t>
            </w:r>
          </w:p>
        </w:tc>
        <w:tc>
          <w:tcPr>
            <w:tcW w:w="6804" w:type="dxa"/>
            <w:shd w:val="clear" w:color="auto" w:fill="17365D" w:themeFill="text2" w:themeFillShade="BF"/>
          </w:tcPr>
          <w:p w:rsidR="004B7483" w:rsidRDefault="004B7483" w:rsidP="009D000E">
            <w:pPr>
              <w:jc w:val="center"/>
              <w:rPr>
                <w:rFonts w:ascii="Calibri" w:hAnsi="Calibri" w:cs="Arial"/>
                <w:b/>
                <w:bCs/>
              </w:rPr>
            </w:pPr>
            <w:r>
              <w:rPr>
                <w:rFonts w:ascii="Calibri" w:hAnsi="Calibri" w:cs="Arial"/>
                <w:b/>
                <w:color w:val="FFFFFF"/>
                <w:sz w:val="18"/>
                <w:szCs w:val="18"/>
                <w:lang w:val="es-ES"/>
              </w:rPr>
              <w:t xml:space="preserve">Argumento del área responsable del programa en relación a la adopción o no del resultado o recomendación (Posición Institucional) considerando los conceptos de </w:t>
            </w:r>
            <w:r w:rsidRPr="005D2B85">
              <w:rPr>
                <w:rFonts w:ascii="Calibri" w:hAnsi="Calibri" w:cs="Arial"/>
                <w:b/>
                <w:color w:val="FFFFFF"/>
                <w:sz w:val="18"/>
                <w:szCs w:val="18"/>
                <w:lang w:val="es-ES"/>
              </w:rPr>
              <w:t>Claridad, Relevancia, Justificación, Factibilidad</w:t>
            </w:r>
            <w:r w:rsidR="005C7F4F">
              <w:rPr>
                <w:rFonts w:ascii="Calibri" w:hAnsi="Calibri" w:cs="Arial"/>
                <w:b/>
                <w:color w:val="FFFFFF"/>
                <w:sz w:val="18"/>
                <w:szCs w:val="18"/>
                <w:lang w:val="es-ES"/>
              </w:rPr>
              <w:t xml:space="preserve"> </w:t>
            </w:r>
            <w:r w:rsidR="00263F0C">
              <w:rPr>
                <w:rFonts w:ascii="Calibri" w:hAnsi="Calibri" w:cs="Arial"/>
                <w:b/>
                <w:color w:val="FFFFFF"/>
                <w:sz w:val="18"/>
                <w:szCs w:val="18"/>
                <w:lang w:val="es-ES"/>
              </w:rPr>
              <w:t>(Ver definición al final del documento)</w:t>
            </w:r>
          </w:p>
        </w:tc>
      </w:tr>
      <w:tr w:rsidR="0049579C" w:rsidTr="00BE66BB">
        <w:tc>
          <w:tcPr>
            <w:tcW w:w="6488" w:type="dxa"/>
          </w:tcPr>
          <w:p w:rsidR="0049579C" w:rsidRDefault="0049579C" w:rsidP="00083E5D">
            <w:pPr>
              <w:rPr>
                <w:rFonts w:ascii="Arial" w:hAnsi="Arial" w:cs="Arial"/>
                <w:b/>
                <w:bCs/>
                <w:sz w:val="20"/>
                <w:szCs w:val="20"/>
                <w:lang w:eastAsia="es-MX"/>
              </w:rPr>
            </w:pPr>
            <w:r w:rsidRPr="00083E5D">
              <w:rPr>
                <w:rFonts w:ascii="Arial" w:hAnsi="Arial" w:cs="Arial"/>
                <w:b/>
                <w:bCs/>
                <w:sz w:val="20"/>
                <w:szCs w:val="20"/>
                <w:lang w:eastAsia="es-MX"/>
              </w:rPr>
              <w:t>Conclusiones del Evaluador Externo</w:t>
            </w:r>
          </w:p>
          <w:p w:rsidR="0068539C" w:rsidRDefault="0068539C" w:rsidP="00083E5D">
            <w:pPr>
              <w:rPr>
                <w:rFonts w:ascii="Arial" w:hAnsi="Arial" w:cs="Arial"/>
                <w:b/>
                <w:bCs/>
                <w:sz w:val="20"/>
                <w:szCs w:val="20"/>
                <w:lang w:eastAsia="es-MX"/>
              </w:rPr>
            </w:pPr>
          </w:p>
          <w:p w:rsidR="0039380B" w:rsidRPr="00083E5D" w:rsidRDefault="00CC45CD" w:rsidP="00CC45CD">
            <w:pPr>
              <w:autoSpaceDE w:val="0"/>
              <w:autoSpaceDN w:val="0"/>
              <w:adjustRightInd w:val="0"/>
              <w:jc w:val="both"/>
              <w:rPr>
                <w:rFonts w:ascii="Arial" w:hAnsi="Arial" w:cs="Arial"/>
                <w:sz w:val="20"/>
                <w:szCs w:val="20"/>
                <w:lang w:eastAsia="es-MX"/>
              </w:rPr>
            </w:pPr>
            <w:r>
              <w:rPr>
                <w:rFonts w:ascii="Arial" w:hAnsi="Arial" w:cs="Arial"/>
                <w:sz w:val="20"/>
                <w:szCs w:val="20"/>
                <w:lang w:eastAsia="es-MX"/>
              </w:rPr>
              <w:t>(1) Los hallazgos de las evaluaciones a las que ha estado sujeto el programa presentan áreas de oportunidad. Si bien estos apuntan a una correcta definición de los resúmenes narrativos de Fin y Propósito, de sus respectivos indicadores, así como a un efecto positivo de corto plazo en los proyectos apoyados; se pasa por alto el que la indefinición de "desarrollo científico y tecnológico" impide valorar si las acciones del programa están logrando su generación y que el resultado del índice de Producción Industrial no puede ser atribuido al desempeño del programa. Sobre este punto, vale especificar que, aunque de acuerdo con la metodología de marco lógico, no se espera que la implementación del programa sea suficiente para alcanzar el Fin, sí debe hacer una contribución significativa a lograrlo. La Evaluación Complementaria concluye que los proyectos apoyados en 2011 fueron considerados "trascendentales científica y/o tecnológicamente", sin embargo, la metodología mediante la cual se definió la muestra no es clara, de forma que se desconoce la validez de los resultados. Es necesario contar con una evaluación realizada con rigor metodológico para conocer si el programa está contribuyendo efectivamente a su propósito.</w:t>
            </w:r>
          </w:p>
        </w:tc>
        <w:tc>
          <w:tcPr>
            <w:tcW w:w="850" w:type="dxa"/>
          </w:tcPr>
          <w:p w:rsidR="0049579C" w:rsidRDefault="0039380B" w:rsidP="0039380B">
            <w:pPr>
              <w:jc w:val="center"/>
              <w:rPr>
                <w:rFonts w:ascii="Calibri" w:hAnsi="Calibri" w:cs="Arial"/>
                <w:b/>
                <w:bCs/>
              </w:rPr>
            </w:pPr>
            <w:r>
              <w:rPr>
                <w:rFonts w:ascii="Calibri" w:hAnsi="Calibri" w:cs="Arial"/>
                <w:b/>
                <w:bCs/>
              </w:rPr>
              <w:t>9</w:t>
            </w:r>
            <w:r w:rsidR="0049579C">
              <w:rPr>
                <w:rFonts w:ascii="Calibri" w:hAnsi="Calibri" w:cs="Arial"/>
                <w:b/>
                <w:bCs/>
              </w:rPr>
              <w:t>/</w:t>
            </w:r>
            <w:r w:rsidR="00CC45CD">
              <w:rPr>
                <w:rFonts w:ascii="Calibri" w:hAnsi="Calibri" w:cs="Arial"/>
                <w:b/>
                <w:bCs/>
              </w:rPr>
              <w:t>24</w:t>
            </w:r>
          </w:p>
        </w:tc>
        <w:tc>
          <w:tcPr>
            <w:tcW w:w="6804" w:type="dxa"/>
          </w:tcPr>
          <w:p w:rsidR="00F441FE" w:rsidRDefault="00EF367E" w:rsidP="00F441FE">
            <w:pPr>
              <w:rPr>
                <w:rFonts w:ascii="Calibri" w:hAnsi="Calibri" w:cs="Arial"/>
                <w:bCs/>
              </w:rPr>
            </w:pPr>
            <w:r>
              <w:rPr>
                <w:rFonts w:ascii="Calibri" w:hAnsi="Calibri" w:cs="Arial"/>
                <w:bCs/>
              </w:rPr>
              <w:t xml:space="preserve">Referente a la </w:t>
            </w:r>
            <w:r w:rsidR="00F441FE" w:rsidRPr="00EF367E">
              <w:rPr>
                <w:rFonts w:ascii="Calibri" w:hAnsi="Calibri" w:cs="Arial"/>
                <w:bCs/>
              </w:rPr>
              <w:t>Definición “desarr</w:t>
            </w:r>
            <w:r w:rsidRPr="00EF367E">
              <w:rPr>
                <w:rFonts w:ascii="Calibri" w:hAnsi="Calibri" w:cs="Arial"/>
                <w:bCs/>
              </w:rPr>
              <w:t>ollo científico y tecnológico”</w:t>
            </w:r>
            <w:r>
              <w:rPr>
                <w:rFonts w:ascii="Calibri" w:hAnsi="Calibri" w:cs="Arial"/>
                <w:bCs/>
              </w:rPr>
              <w:t>, la observación No Aplica ya que estas son tomadas de la Ley de Ciencia y Tecnología, no siendo facultad del Programa modificarlas.</w:t>
            </w:r>
          </w:p>
          <w:p w:rsidR="00EF367E" w:rsidRPr="00EF367E" w:rsidRDefault="00EF367E" w:rsidP="00F441FE">
            <w:pPr>
              <w:rPr>
                <w:rFonts w:ascii="Calibri" w:hAnsi="Calibri" w:cs="Arial"/>
                <w:bCs/>
              </w:rPr>
            </w:pPr>
          </w:p>
          <w:p w:rsidR="00F441FE" w:rsidRPr="00EF367E" w:rsidRDefault="00EF367E" w:rsidP="00F441FE">
            <w:pPr>
              <w:rPr>
                <w:rFonts w:ascii="Calibri" w:hAnsi="Calibri" w:cs="Arial"/>
                <w:bCs/>
              </w:rPr>
            </w:pPr>
            <w:r>
              <w:rPr>
                <w:rFonts w:ascii="Calibri" w:hAnsi="Calibri" w:cs="Arial"/>
                <w:bCs/>
              </w:rPr>
              <w:t>Respecto a la observación relacionada con el Indicador de Fin (IAI), se considera que la misma No Aplica ya que el Indicador de Fin de la MIR 2014 del Programa fue modificado y ya no se utilizará el Indicador de la Actividad Industrial.</w:t>
            </w:r>
          </w:p>
          <w:p w:rsidR="00F441FE" w:rsidRPr="00EF367E" w:rsidRDefault="00F441FE" w:rsidP="00F441FE">
            <w:pPr>
              <w:rPr>
                <w:rFonts w:ascii="Calibri" w:hAnsi="Calibri" w:cs="Arial"/>
                <w:bCs/>
              </w:rPr>
            </w:pPr>
          </w:p>
          <w:p w:rsidR="00F441FE" w:rsidRDefault="00EF367E" w:rsidP="00EF367E">
            <w:pPr>
              <w:rPr>
                <w:rFonts w:ascii="Calibri" w:hAnsi="Calibri" w:cs="Arial"/>
                <w:b/>
                <w:bCs/>
              </w:rPr>
            </w:pPr>
            <w:r>
              <w:rPr>
                <w:rFonts w:ascii="Calibri" w:hAnsi="Calibri" w:cs="Arial"/>
                <w:bCs/>
              </w:rPr>
              <w:t xml:space="preserve">En cuanto a la observación de la </w:t>
            </w:r>
            <w:r w:rsidR="00F441FE" w:rsidRPr="00EF367E">
              <w:rPr>
                <w:rFonts w:ascii="Calibri" w:hAnsi="Calibri" w:cs="Arial"/>
                <w:bCs/>
              </w:rPr>
              <w:t xml:space="preserve">Evaluación </w:t>
            </w:r>
            <w:r>
              <w:rPr>
                <w:rFonts w:ascii="Calibri" w:hAnsi="Calibri" w:cs="Arial"/>
                <w:bCs/>
              </w:rPr>
              <w:t>de la AMC, se aclara que esta fue solamente una evaluación complementaria que se refería única y exclusivamente a la relevancia técnica de los proyectos apoyados, siendo responsabilidad de la AMC la realización de las vistas con una metodología y muestreo diseñados por ellos.</w:t>
            </w:r>
            <w:r w:rsidR="00F441FE" w:rsidRPr="00EF367E">
              <w:rPr>
                <w:rFonts w:ascii="Calibri" w:hAnsi="Calibri" w:cs="Arial"/>
                <w:bCs/>
              </w:rPr>
              <w:t xml:space="preserve"> </w:t>
            </w:r>
          </w:p>
        </w:tc>
      </w:tr>
      <w:tr w:rsidR="00CC45CD" w:rsidTr="00BE66BB">
        <w:tc>
          <w:tcPr>
            <w:tcW w:w="6488" w:type="dxa"/>
          </w:tcPr>
          <w:p w:rsidR="00CC45CD" w:rsidRPr="00CC45CD" w:rsidRDefault="00CC45CD" w:rsidP="00CC45CD">
            <w:pPr>
              <w:autoSpaceDE w:val="0"/>
              <w:autoSpaceDN w:val="0"/>
              <w:adjustRightInd w:val="0"/>
              <w:jc w:val="both"/>
              <w:rPr>
                <w:rFonts w:ascii="Arial" w:hAnsi="Arial" w:cs="Arial"/>
                <w:sz w:val="20"/>
                <w:szCs w:val="20"/>
                <w:lang w:eastAsia="es-MX"/>
              </w:rPr>
            </w:pPr>
            <w:r>
              <w:rPr>
                <w:rFonts w:ascii="Arial" w:hAnsi="Arial" w:cs="Arial"/>
                <w:sz w:val="20"/>
                <w:szCs w:val="20"/>
                <w:lang w:eastAsia="es-MX"/>
              </w:rPr>
              <w:t>(2) El análisis del desempeño de los indicadores está limitado por la falta de claridad en los criterios mediante los cuales se fijan sus metas. Es decir, al no conocer dichos criterios, el buen desempeño de un indicador puede deberse a que efectivamente el programa está haciendo un buen trabajo, o bien, a que las metas impuestas para ese indicador fueron laxas.</w:t>
            </w:r>
          </w:p>
        </w:tc>
        <w:tc>
          <w:tcPr>
            <w:tcW w:w="850" w:type="dxa"/>
          </w:tcPr>
          <w:p w:rsidR="00CC45CD" w:rsidRDefault="00CC45CD" w:rsidP="0039380B">
            <w:pPr>
              <w:jc w:val="center"/>
              <w:rPr>
                <w:rFonts w:ascii="Calibri" w:hAnsi="Calibri" w:cs="Arial"/>
                <w:b/>
                <w:bCs/>
              </w:rPr>
            </w:pPr>
          </w:p>
        </w:tc>
        <w:tc>
          <w:tcPr>
            <w:tcW w:w="6804" w:type="dxa"/>
          </w:tcPr>
          <w:p w:rsidR="00CC45CD" w:rsidRDefault="00EF367E" w:rsidP="00EF367E">
            <w:pPr>
              <w:rPr>
                <w:rFonts w:ascii="Calibri" w:hAnsi="Calibri" w:cs="Arial"/>
                <w:b/>
                <w:bCs/>
              </w:rPr>
            </w:pPr>
            <w:r w:rsidRPr="00EF367E">
              <w:rPr>
                <w:rFonts w:ascii="Calibri" w:hAnsi="Calibri" w:cs="Arial"/>
                <w:bCs/>
              </w:rPr>
              <w:t>Referente a la observación de los “criterios” utilizados para definir indicadores, se</w:t>
            </w:r>
            <w:r>
              <w:rPr>
                <w:rFonts w:ascii="Calibri" w:hAnsi="Calibri" w:cs="Arial"/>
                <w:bCs/>
              </w:rPr>
              <w:t xml:space="preserve"> </w:t>
            </w:r>
            <w:r>
              <w:rPr>
                <w:rFonts w:ascii="Calibri" w:hAnsi="Calibri" w:cs="Arial"/>
                <w:bCs/>
              </w:rPr>
              <w:t xml:space="preserve">considera que la misma No Aplica ya que </w:t>
            </w:r>
            <w:r>
              <w:rPr>
                <w:rFonts w:ascii="Calibri" w:hAnsi="Calibri" w:cs="Arial"/>
                <w:bCs/>
              </w:rPr>
              <w:t xml:space="preserve">la totalidad de indicadores </w:t>
            </w:r>
            <w:r>
              <w:rPr>
                <w:rFonts w:ascii="Calibri" w:hAnsi="Calibri" w:cs="Arial"/>
                <w:bCs/>
              </w:rPr>
              <w:t>de la MIR 2014 del Programa fue</w:t>
            </w:r>
            <w:r>
              <w:rPr>
                <w:rFonts w:ascii="Calibri" w:hAnsi="Calibri" w:cs="Arial"/>
                <w:bCs/>
              </w:rPr>
              <w:t>ron modificados.</w:t>
            </w:r>
          </w:p>
        </w:tc>
      </w:tr>
      <w:tr w:rsidR="00CC45CD" w:rsidTr="00BE66BB">
        <w:tc>
          <w:tcPr>
            <w:tcW w:w="6488" w:type="dxa"/>
          </w:tcPr>
          <w:p w:rsidR="00CC45CD" w:rsidRPr="00CC45CD" w:rsidRDefault="00CC45CD" w:rsidP="00CC45CD">
            <w:pPr>
              <w:autoSpaceDE w:val="0"/>
              <w:autoSpaceDN w:val="0"/>
              <w:adjustRightInd w:val="0"/>
              <w:jc w:val="both"/>
              <w:rPr>
                <w:rFonts w:ascii="Arial" w:hAnsi="Arial" w:cs="Arial"/>
                <w:sz w:val="20"/>
                <w:szCs w:val="20"/>
                <w:lang w:eastAsia="es-MX"/>
              </w:rPr>
            </w:pPr>
            <w:r>
              <w:rPr>
                <w:rFonts w:ascii="Arial" w:hAnsi="Arial" w:cs="Arial"/>
                <w:sz w:val="20"/>
                <w:szCs w:val="20"/>
                <w:lang w:eastAsia="es-MX"/>
              </w:rPr>
              <w:lastRenderedPageBreak/>
              <w:t>(3) Los dos indicadores de Propósito presentaron un avance de 0%, aun cuando el valor de la línea base es de 100. El programa ha argumentado que la cifra no está disponible debido a que la información se genera cuando el sistema para capturar los datos ya fue cerrado. Sin embargo, los datos de dichos indicadores para 2011 y 2010 tampoco existen</w:t>
            </w:r>
          </w:p>
        </w:tc>
        <w:tc>
          <w:tcPr>
            <w:tcW w:w="850" w:type="dxa"/>
          </w:tcPr>
          <w:p w:rsidR="00CC45CD" w:rsidRDefault="00CC45CD" w:rsidP="0039380B">
            <w:pPr>
              <w:jc w:val="center"/>
              <w:rPr>
                <w:rFonts w:ascii="Calibri" w:hAnsi="Calibri" w:cs="Arial"/>
                <w:b/>
                <w:bCs/>
              </w:rPr>
            </w:pPr>
          </w:p>
        </w:tc>
        <w:tc>
          <w:tcPr>
            <w:tcW w:w="6804" w:type="dxa"/>
          </w:tcPr>
          <w:p w:rsidR="00CC45CD" w:rsidRDefault="00EF367E" w:rsidP="00EF367E">
            <w:pPr>
              <w:rPr>
                <w:rFonts w:ascii="Calibri" w:hAnsi="Calibri" w:cs="Arial"/>
                <w:b/>
                <w:bCs/>
              </w:rPr>
            </w:pPr>
            <w:r>
              <w:rPr>
                <w:rFonts w:ascii="Calibri" w:hAnsi="Calibri" w:cs="Arial"/>
                <w:bCs/>
              </w:rPr>
              <w:t xml:space="preserve">Respecto a la observación relacionada con </w:t>
            </w:r>
            <w:r>
              <w:rPr>
                <w:rFonts w:ascii="Calibri" w:hAnsi="Calibri" w:cs="Arial"/>
                <w:bCs/>
              </w:rPr>
              <w:t>los i</w:t>
            </w:r>
            <w:r>
              <w:rPr>
                <w:rFonts w:ascii="Calibri" w:hAnsi="Calibri" w:cs="Arial"/>
                <w:bCs/>
              </w:rPr>
              <w:t>ndicador</w:t>
            </w:r>
            <w:r>
              <w:rPr>
                <w:rFonts w:ascii="Calibri" w:hAnsi="Calibri" w:cs="Arial"/>
                <w:bCs/>
              </w:rPr>
              <w:t>es de Propósito</w:t>
            </w:r>
            <w:r>
              <w:rPr>
                <w:rFonts w:ascii="Calibri" w:hAnsi="Calibri" w:cs="Arial"/>
                <w:bCs/>
              </w:rPr>
              <w:t>, se considera que la misma No Aplica ya que la totalidad de indicadores de la MIR 2014 del Programa fueron modificados.</w:t>
            </w:r>
          </w:p>
        </w:tc>
      </w:tr>
      <w:tr w:rsidR="00CC45CD" w:rsidTr="00BE66BB">
        <w:tc>
          <w:tcPr>
            <w:tcW w:w="6488" w:type="dxa"/>
          </w:tcPr>
          <w:p w:rsidR="00CC45CD" w:rsidRPr="00CC45CD" w:rsidRDefault="00CC45CD" w:rsidP="00CC45CD">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(4) La información proporcionada por el programa no permite realizar un análisis sobre los avances que ha tenido el programa al momento de la evaluación, pues por una parte se estableció que debido a que no hay aspectos de mejora pendientes de atender, no se cuenta con el documento mediante el cual se les da seguimiento. Por otra, el programa comentó que a la fecha de la evaluación no hay avances derivados de informes trimestrales puesto que, por la manera en la que opera, los apoyos son otorgados </w:t>
            </w:r>
            <w:proofErr w:type="gramStart"/>
            <w:r>
              <w:rPr>
                <w:rFonts w:ascii="Arial" w:hAnsi="Arial" w:cs="Arial"/>
                <w:sz w:val="20"/>
                <w:szCs w:val="20"/>
                <w:lang w:eastAsia="es-MX"/>
              </w:rPr>
              <w:t>única</w:t>
            </w:r>
            <w:proofErr w:type="gramEnd"/>
            <w:r>
              <w:rPr>
                <w:rFonts w:ascii="Arial" w:hAnsi="Arial" w:cs="Arial"/>
                <w:sz w:val="20"/>
                <w:szCs w:val="20"/>
                <w:lang w:eastAsia="es-MX"/>
              </w:rPr>
              <w:t xml:space="preserve"> y exclusivamente en el tercer trimestre del año fiscal, por lo que no es necesaria la entrega de informes trimestrales.</w:t>
            </w:r>
          </w:p>
        </w:tc>
        <w:tc>
          <w:tcPr>
            <w:tcW w:w="850" w:type="dxa"/>
          </w:tcPr>
          <w:p w:rsidR="00CC45CD" w:rsidRDefault="00CC45CD" w:rsidP="0039380B">
            <w:pPr>
              <w:jc w:val="center"/>
              <w:rPr>
                <w:rFonts w:ascii="Calibri" w:hAnsi="Calibri" w:cs="Arial"/>
                <w:b/>
                <w:bCs/>
              </w:rPr>
            </w:pPr>
          </w:p>
        </w:tc>
        <w:tc>
          <w:tcPr>
            <w:tcW w:w="6804" w:type="dxa"/>
          </w:tcPr>
          <w:p w:rsidR="00CC45CD" w:rsidRPr="00EF367E" w:rsidRDefault="00EF367E" w:rsidP="00EF367E">
            <w:pPr>
              <w:rPr>
                <w:rFonts w:ascii="Calibri" w:hAnsi="Calibri" w:cs="Arial"/>
                <w:bCs/>
              </w:rPr>
            </w:pPr>
            <w:r w:rsidRPr="00EF367E">
              <w:rPr>
                <w:rFonts w:ascii="Calibri" w:hAnsi="Calibri" w:cs="Arial"/>
                <w:bCs/>
              </w:rPr>
              <w:t>En lo concerniente a la elaboración de reportes trimestrales de avance en la ejecución del gasto, se considera que la observación No Aplica ya que como se indica en la evaluación, el Programa se gestiona con un Proceso Estandarizado de Operación que determina que las ministraciones a los beneficiarios se realizan en un solo trimestre del año, no siendo relevante su reporte trimestral.</w:t>
            </w:r>
          </w:p>
        </w:tc>
      </w:tr>
      <w:tr w:rsidR="00CC45CD" w:rsidTr="00BE66BB">
        <w:tc>
          <w:tcPr>
            <w:tcW w:w="6488" w:type="dxa"/>
          </w:tcPr>
          <w:p w:rsidR="00CC45CD" w:rsidRPr="00CC45CD" w:rsidRDefault="00CC45CD" w:rsidP="00CC45CD">
            <w:pPr>
              <w:autoSpaceDE w:val="0"/>
              <w:autoSpaceDN w:val="0"/>
              <w:adjustRightInd w:val="0"/>
              <w:jc w:val="both"/>
              <w:rPr>
                <w:rFonts w:ascii="Arial" w:hAnsi="Arial" w:cs="Arial"/>
                <w:sz w:val="20"/>
                <w:szCs w:val="20"/>
                <w:lang w:eastAsia="es-MX"/>
              </w:rPr>
            </w:pPr>
            <w:r>
              <w:rPr>
                <w:rFonts w:ascii="Arial" w:hAnsi="Arial" w:cs="Arial"/>
                <w:sz w:val="20"/>
                <w:szCs w:val="20"/>
                <w:lang w:eastAsia="es-MX"/>
              </w:rPr>
              <w:t>(5) Las definiciones de la población potencial y objetivo presentan áreas de mejora, pues la población objetivo debería incluir no solamente a las empresas que innovan, sino aquellas que generan desarrollo tecnológico, así como aquéllas que tienen el potencial para generar innovación y desarrollo tecnológico, pero enfrentan restricciones para lograrlo</w:t>
            </w:r>
          </w:p>
        </w:tc>
        <w:tc>
          <w:tcPr>
            <w:tcW w:w="850" w:type="dxa"/>
          </w:tcPr>
          <w:p w:rsidR="00CC45CD" w:rsidRDefault="00CC45CD" w:rsidP="0039380B">
            <w:pPr>
              <w:jc w:val="center"/>
              <w:rPr>
                <w:rFonts w:ascii="Calibri" w:hAnsi="Calibri" w:cs="Arial"/>
                <w:b/>
                <w:bCs/>
              </w:rPr>
            </w:pPr>
          </w:p>
        </w:tc>
        <w:tc>
          <w:tcPr>
            <w:tcW w:w="6804" w:type="dxa"/>
          </w:tcPr>
          <w:p w:rsidR="00CC45CD" w:rsidRPr="00EF367E" w:rsidRDefault="00EF367E" w:rsidP="00EF367E">
            <w:pPr>
              <w:rPr>
                <w:rFonts w:ascii="Calibri" w:hAnsi="Calibri" w:cs="Arial"/>
                <w:bCs/>
              </w:rPr>
            </w:pPr>
            <w:r w:rsidRPr="00EF367E">
              <w:rPr>
                <w:rFonts w:ascii="Calibri" w:hAnsi="Calibri" w:cs="Arial"/>
                <w:bCs/>
              </w:rPr>
              <w:t>En lo que compete a la definición de poblaciones potenciales y objetivo, se considera que No Aplica la observación ya que tanto en la ESIDET, que cuantifica la población potencial, como en el RENICYT, que cuantifica la Población objetivo, no sólo se consideran</w:t>
            </w:r>
            <w:r>
              <w:rPr>
                <w:rFonts w:ascii="Calibri" w:hAnsi="Calibri" w:cs="Arial"/>
                <w:bCs/>
              </w:rPr>
              <w:t xml:space="preserve"> a las que ya innovan, sino a aquellas interesadas en hacerlo, cubriendo así la observación.</w:t>
            </w:r>
          </w:p>
        </w:tc>
      </w:tr>
      <w:tr w:rsidR="00A26F0F" w:rsidTr="00BE66BB">
        <w:tc>
          <w:tcPr>
            <w:tcW w:w="6488" w:type="dxa"/>
          </w:tcPr>
          <w:p w:rsidR="00A26F0F" w:rsidRDefault="00A26F0F" w:rsidP="003024F3">
            <w:pPr>
              <w:rPr>
                <w:rFonts w:ascii="Arial" w:hAnsi="Arial" w:cs="Arial"/>
                <w:b/>
                <w:bCs/>
                <w:sz w:val="20"/>
                <w:szCs w:val="20"/>
                <w:lang w:eastAsia="es-MX"/>
              </w:rPr>
            </w:pPr>
            <w:r w:rsidRPr="000C16B1">
              <w:rPr>
                <w:rFonts w:ascii="Arial" w:hAnsi="Arial" w:cs="Arial"/>
                <w:b/>
                <w:bCs/>
                <w:sz w:val="20"/>
                <w:szCs w:val="20"/>
                <w:lang w:eastAsia="es-MX"/>
              </w:rPr>
              <w:t>Retos y Recomendaciones</w:t>
            </w:r>
          </w:p>
          <w:p w:rsidR="0068539C" w:rsidRDefault="0068539C" w:rsidP="003024F3">
            <w:pPr>
              <w:rPr>
                <w:rFonts w:ascii="Arial" w:hAnsi="Arial" w:cs="Arial"/>
                <w:b/>
                <w:bCs/>
                <w:sz w:val="20"/>
                <w:szCs w:val="20"/>
                <w:lang w:eastAsia="es-MX"/>
              </w:rPr>
            </w:pPr>
          </w:p>
          <w:p w:rsidR="0039380B" w:rsidRPr="003024F3" w:rsidRDefault="00CC45CD" w:rsidP="00CC45CD">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(1) Considerar la posibilidad de utilizar como indicador de Fin la variable de </w:t>
            </w:r>
            <w:r w:rsidR="00F441FE">
              <w:rPr>
                <w:rFonts w:ascii="Arial" w:hAnsi="Arial" w:cs="Arial"/>
                <w:sz w:val="20"/>
                <w:szCs w:val="20"/>
                <w:lang w:eastAsia="es-MX"/>
              </w:rPr>
              <w:t>“</w:t>
            </w:r>
            <w:r>
              <w:rPr>
                <w:rFonts w:ascii="Arial" w:hAnsi="Arial" w:cs="Arial"/>
                <w:sz w:val="20"/>
                <w:szCs w:val="20"/>
                <w:lang w:eastAsia="es-MX"/>
              </w:rPr>
              <w:t>Gasto de Investigación y Desarrollo Experimental del Sector Privado</w:t>
            </w:r>
            <w:r w:rsidR="00F441FE">
              <w:rPr>
                <w:rFonts w:ascii="Arial" w:hAnsi="Arial" w:cs="Arial"/>
                <w:sz w:val="20"/>
                <w:szCs w:val="20"/>
                <w:lang w:eastAsia="es-MX"/>
              </w:rPr>
              <w:t>”</w:t>
            </w:r>
            <w:r>
              <w:rPr>
                <w:rFonts w:ascii="Arial" w:hAnsi="Arial" w:cs="Arial"/>
                <w:sz w:val="20"/>
                <w:szCs w:val="20"/>
                <w:lang w:eastAsia="es-MX"/>
              </w:rPr>
              <w:t xml:space="preserve"> que publica en INEGI en la ESIDET, a fin de que se refleje de mejor manera la contribución del programa al logro del objetivo de desarrollo nacional</w:t>
            </w:r>
            <w:r w:rsidRPr="003024F3">
              <w:rPr>
                <w:rFonts w:ascii="Arial" w:hAnsi="Arial" w:cs="Arial"/>
                <w:sz w:val="20"/>
                <w:szCs w:val="20"/>
                <w:lang w:eastAsia="es-MX"/>
              </w:rPr>
              <w:t xml:space="preserve"> </w:t>
            </w:r>
          </w:p>
        </w:tc>
        <w:tc>
          <w:tcPr>
            <w:tcW w:w="850" w:type="dxa"/>
          </w:tcPr>
          <w:p w:rsidR="00A26F0F" w:rsidRDefault="002059A2" w:rsidP="002059A2">
            <w:pPr>
              <w:jc w:val="center"/>
              <w:rPr>
                <w:rFonts w:ascii="Calibri" w:hAnsi="Calibri" w:cs="Arial"/>
                <w:b/>
                <w:bCs/>
              </w:rPr>
            </w:pPr>
            <w:r>
              <w:rPr>
                <w:rFonts w:ascii="Calibri" w:hAnsi="Calibri" w:cs="Arial"/>
                <w:b/>
                <w:bCs/>
              </w:rPr>
              <w:t>10</w:t>
            </w:r>
            <w:r w:rsidR="00A26F0F">
              <w:rPr>
                <w:rFonts w:ascii="Calibri" w:hAnsi="Calibri" w:cs="Arial"/>
                <w:b/>
                <w:bCs/>
              </w:rPr>
              <w:t>/</w:t>
            </w:r>
            <w:r>
              <w:rPr>
                <w:rFonts w:ascii="Calibri" w:hAnsi="Calibri" w:cs="Arial"/>
                <w:b/>
                <w:bCs/>
              </w:rPr>
              <w:t>24</w:t>
            </w:r>
          </w:p>
        </w:tc>
        <w:tc>
          <w:tcPr>
            <w:tcW w:w="6804" w:type="dxa"/>
          </w:tcPr>
          <w:p w:rsidR="00A26F0F" w:rsidRPr="00EF367E" w:rsidRDefault="00EF367E" w:rsidP="00EF367E">
            <w:pPr>
              <w:rPr>
                <w:rFonts w:ascii="Calibri" w:hAnsi="Calibri" w:cs="Arial"/>
                <w:bCs/>
              </w:rPr>
            </w:pPr>
            <w:r w:rsidRPr="00EF367E">
              <w:rPr>
                <w:rFonts w:ascii="Calibri" w:hAnsi="Calibri" w:cs="Arial"/>
                <w:bCs/>
              </w:rPr>
              <w:t>Esta recomendación ya fue atendida y el Indic</w:t>
            </w:r>
            <w:r>
              <w:rPr>
                <w:rFonts w:ascii="Calibri" w:hAnsi="Calibri" w:cs="Arial"/>
                <w:bCs/>
              </w:rPr>
              <w:t>ador de Fin de la MIR 2014 del P</w:t>
            </w:r>
            <w:r w:rsidRPr="00EF367E">
              <w:rPr>
                <w:rFonts w:ascii="Calibri" w:hAnsi="Calibri" w:cs="Arial"/>
                <w:bCs/>
              </w:rPr>
              <w:t>rograma ya considera al GIDESP en lugar del Indicador de la Actividad Industrial que era el utilizado previamente.</w:t>
            </w:r>
          </w:p>
        </w:tc>
      </w:tr>
      <w:tr w:rsidR="00CC45CD" w:rsidTr="00BE66BB">
        <w:tc>
          <w:tcPr>
            <w:tcW w:w="6488" w:type="dxa"/>
          </w:tcPr>
          <w:p w:rsidR="00CC45CD" w:rsidRPr="00CC45CD" w:rsidRDefault="00CC45CD" w:rsidP="00CC45CD">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(2) Definir qué se entiende por </w:t>
            </w:r>
            <w:r w:rsidR="00F441FE">
              <w:rPr>
                <w:rFonts w:ascii="Arial" w:hAnsi="Arial" w:cs="Arial"/>
                <w:sz w:val="20"/>
                <w:szCs w:val="20"/>
                <w:lang w:eastAsia="es-MX"/>
              </w:rPr>
              <w:t>“</w:t>
            </w:r>
            <w:r>
              <w:rPr>
                <w:rFonts w:ascii="Arial" w:hAnsi="Arial" w:cs="Arial"/>
                <w:sz w:val="20"/>
                <w:szCs w:val="20"/>
                <w:lang w:eastAsia="es-MX"/>
              </w:rPr>
              <w:t>desarrollo científico, tecnológico y de innovación</w:t>
            </w:r>
            <w:r w:rsidR="00F441FE">
              <w:rPr>
                <w:rFonts w:ascii="Arial" w:hAnsi="Arial" w:cs="Arial"/>
                <w:sz w:val="20"/>
                <w:szCs w:val="20"/>
                <w:lang w:eastAsia="es-MX"/>
              </w:rPr>
              <w:t>”</w:t>
            </w:r>
            <w:r>
              <w:rPr>
                <w:rFonts w:ascii="Arial" w:hAnsi="Arial" w:cs="Arial"/>
                <w:sz w:val="20"/>
                <w:szCs w:val="20"/>
                <w:lang w:eastAsia="es-MX"/>
              </w:rPr>
              <w:t>, pues sólo así podrán identificarse indicadores adecuados para medirlo</w:t>
            </w:r>
          </w:p>
        </w:tc>
        <w:tc>
          <w:tcPr>
            <w:tcW w:w="850" w:type="dxa"/>
          </w:tcPr>
          <w:p w:rsidR="00CC45CD" w:rsidRDefault="00CC45CD" w:rsidP="0039380B">
            <w:pPr>
              <w:jc w:val="center"/>
              <w:rPr>
                <w:rFonts w:ascii="Calibri" w:hAnsi="Calibri" w:cs="Arial"/>
                <w:b/>
                <w:bCs/>
              </w:rPr>
            </w:pPr>
          </w:p>
        </w:tc>
        <w:tc>
          <w:tcPr>
            <w:tcW w:w="6804" w:type="dxa"/>
          </w:tcPr>
          <w:p w:rsidR="00CC45CD" w:rsidRPr="00CA3501" w:rsidRDefault="00EF367E" w:rsidP="00EF367E">
            <w:pPr>
              <w:rPr>
                <w:rFonts w:ascii="Calibri" w:hAnsi="Calibri" w:cs="Arial"/>
                <w:bCs/>
              </w:rPr>
            </w:pPr>
            <w:r w:rsidRPr="00CA3501">
              <w:rPr>
                <w:rFonts w:ascii="Calibri" w:hAnsi="Calibri" w:cs="Arial"/>
                <w:bCs/>
              </w:rPr>
              <w:t>Considerando la relevancia de la recomendaci</w:t>
            </w:r>
            <w:r w:rsidR="00951E47">
              <w:rPr>
                <w:rFonts w:ascii="Calibri" w:hAnsi="Calibri" w:cs="Arial"/>
                <w:bCs/>
              </w:rPr>
              <w:t>ón, se considera que esta</w:t>
            </w:r>
            <w:r w:rsidRPr="00CA3501">
              <w:rPr>
                <w:rFonts w:ascii="Calibri" w:hAnsi="Calibri" w:cs="Arial"/>
                <w:bCs/>
              </w:rPr>
              <w:t xml:space="preserve"> No Aplica ya que </w:t>
            </w:r>
            <w:r w:rsidR="00CA3501">
              <w:rPr>
                <w:rFonts w:ascii="Calibri" w:hAnsi="Calibri" w:cs="Arial"/>
                <w:bCs/>
              </w:rPr>
              <w:t>los</w:t>
            </w:r>
            <w:r w:rsidR="00CA3501" w:rsidRPr="00CA3501">
              <w:rPr>
                <w:rFonts w:ascii="Calibri" w:hAnsi="Calibri" w:cs="Arial"/>
                <w:bCs/>
              </w:rPr>
              <w:t xml:space="preserve"> términos </w:t>
            </w:r>
            <w:r w:rsidR="00CA3501">
              <w:rPr>
                <w:rFonts w:ascii="Calibri" w:hAnsi="Calibri" w:cs="Arial"/>
                <w:bCs/>
              </w:rPr>
              <w:t xml:space="preserve">en comento </w:t>
            </w:r>
            <w:r w:rsidR="00CA3501" w:rsidRPr="00CA3501">
              <w:rPr>
                <w:rFonts w:ascii="Calibri" w:hAnsi="Calibri" w:cs="Arial"/>
                <w:bCs/>
              </w:rPr>
              <w:t>(definidos ya en la Ley de Ciencia y Tecnología) aparecen en la narrativa de los indicadores evaluados en ese momento, mismos que fuer</w:t>
            </w:r>
            <w:r w:rsidR="00CA3501">
              <w:rPr>
                <w:rFonts w:ascii="Calibri" w:hAnsi="Calibri" w:cs="Arial"/>
                <w:bCs/>
              </w:rPr>
              <w:t>on cambiados en su totalidad en la MIR 2014 del programa.</w:t>
            </w:r>
          </w:p>
        </w:tc>
      </w:tr>
      <w:tr w:rsidR="00CC45CD" w:rsidTr="00BE66BB">
        <w:tc>
          <w:tcPr>
            <w:tcW w:w="6488" w:type="dxa"/>
          </w:tcPr>
          <w:p w:rsidR="00CC45CD" w:rsidRPr="00CC45CD" w:rsidRDefault="00CC45CD" w:rsidP="00CC45CD">
            <w:pPr>
              <w:autoSpaceDE w:val="0"/>
              <w:autoSpaceDN w:val="0"/>
              <w:adjustRightInd w:val="0"/>
              <w:jc w:val="both"/>
              <w:rPr>
                <w:rFonts w:ascii="Arial" w:hAnsi="Arial" w:cs="Arial"/>
                <w:sz w:val="20"/>
                <w:szCs w:val="20"/>
                <w:lang w:eastAsia="es-MX"/>
              </w:rPr>
            </w:pPr>
            <w:r>
              <w:rPr>
                <w:rFonts w:ascii="Arial" w:hAnsi="Arial" w:cs="Arial"/>
                <w:sz w:val="20"/>
                <w:szCs w:val="20"/>
                <w:lang w:eastAsia="es-MX"/>
              </w:rPr>
              <w:t>(3) Hacer explícitos los criterios mediante los cuales se fijan las metas de los indicadores, a fin de poder realizar un análisis adecuado sobre su desempeño.</w:t>
            </w:r>
          </w:p>
        </w:tc>
        <w:tc>
          <w:tcPr>
            <w:tcW w:w="850" w:type="dxa"/>
          </w:tcPr>
          <w:p w:rsidR="00CC45CD" w:rsidRPr="00CA3501" w:rsidRDefault="00CC45CD" w:rsidP="0039380B">
            <w:pPr>
              <w:jc w:val="center"/>
              <w:rPr>
                <w:rFonts w:ascii="Calibri" w:hAnsi="Calibri" w:cs="Arial"/>
                <w:bCs/>
              </w:rPr>
            </w:pPr>
          </w:p>
        </w:tc>
        <w:tc>
          <w:tcPr>
            <w:tcW w:w="6804" w:type="dxa"/>
          </w:tcPr>
          <w:p w:rsidR="00CC45CD" w:rsidRPr="00CA3501" w:rsidRDefault="00CA3501" w:rsidP="00CA3501">
            <w:pPr>
              <w:rPr>
                <w:rFonts w:ascii="Calibri" w:hAnsi="Calibri" w:cs="Arial"/>
                <w:bCs/>
              </w:rPr>
            </w:pPr>
            <w:r>
              <w:rPr>
                <w:rFonts w:ascii="Calibri" w:hAnsi="Calibri" w:cs="Arial"/>
                <w:bCs/>
              </w:rPr>
              <w:t>Se considera que esta recomendación No Aplica ya que las</w:t>
            </w:r>
            <w:r w:rsidR="00F441FE" w:rsidRPr="00CA3501">
              <w:rPr>
                <w:rFonts w:ascii="Calibri" w:hAnsi="Calibri" w:cs="Arial"/>
                <w:bCs/>
              </w:rPr>
              <w:t xml:space="preserve"> fichas técnicas de la MIR 2014 </w:t>
            </w:r>
            <w:r>
              <w:rPr>
                <w:rFonts w:ascii="Calibri" w:hAnsi="Calibri" w:cs="Arial"/>
                <w:bCs/>
              </w:rPr>
              <w:t>hacen explícitos los criterios para determinar metas.</w:t>
            </w:r>
          </w:p>
        </w:tc>
      </w:tr>
      <w:tr w:rsidR="00CC45CD" w:rsidTr="00BE66BB">
        <w:tc>
          <w:tcPr>
            <w:tcW w:w="6488" w:type="dxa"/>
          </w:tcPr>
          <w:p w:rsidR="00CC45CD" w:rsidRDefault="00CC45CD" w:rsidP="00CC45CD">
            <w:pPr>
              <w:autoSpaceDE w:val="0"/>
              <w:autoSpaceDN w:val="0"/>
              <w:adjustRightInd w:val="0"/>
              <w:jc w:val="both"/>
              <w:rPr>
                <w:rFonts w:ascii="Arial" w:hAnsi="Arial" w:cs="Arial"/>
                <w:sz w:val="20"/>
                <w:szCs w:val="20"/>
                <w:lang w:eastAsia="es-MX"/>
              </w:rPr>
            </w:pPr>
            <w:r>
              <w:rPr>
                <w:rFonts w:ascii="Arial" w:hAnsi="Arial" w:cs="Arial"/>
                <w:sz w:val="20"/>
                <w:szCs w:val="20"/>
                <w:lang w:eastAsia="es-MX"/>
              </w:rPr>
              <w:lastRenderedPageBreak/>
              <w:t xml:space="preserve">(4) Redefinir </w:t>
            </w:r>
            <w:proofErr w:type="gramStart"/>
            <w:r>
              <w:rPr>
                <w:rFonts w:ascii="Arial" w:hAnsi="Arial" w:cs="Arial"/>
                <w:sz w:val="20"/>
                <w:szCs w:val="20"/>
                <w:lang w:eastAsia="es-MX"/>
              </w:rPr>
              <w:t>las poblaciones potencial y objetivo</w:t>
            </w:r>
            <w:proofErr w:type="gramEnd"/>
            <w:r>
              <w:rPr>
                <w:rFonts w:ascii="Arial" w:hAnsi="Arial" w:cs="Arial"/>
                <w:sz w:val="20"/>
                <w:szCs w:val="20"/>
                <w:lang w:eastAsia="es-MX"/>
              </w:rPr>
              <w:t>, de forma que éstas incluyan no solamente a las empresas que innovan, sino aquéllas que generan desarrollo tecnológico y a aquéllas que tienen el potencial para generar innovación y desarrollo tecnológico, pero enfrentan restricciones para lograrlo</w:t>
            </w:r>
            <w:r w:rsidR="00951E47">
              <w:rPr>
                <w:rFonts w:ascii="Arial" w:hAnsi="Arial" w:cs="Arial"/>
                <w:sz w:val="20"/>
                <w:szCs w:val="20"/>
                <w:lang w:eastAsia="es-MX"/>
              </w:rPr>
              <w:t>.</w:t>
            </w:r>
          </w:p>
          <w:p w:rsidR="00CC45CD" w:rsidRPr="00CC45CD" w:rsidRDefault="00CC45CD" w:rsidP="00CC45CD">
            <w:pPr>
              <w:autoSpaceDE w:val="0"/>
              <w:autoSpaceDN w:val="0"/>
              <w:adjustRightInd w:val="0"/>
              <w:jc w:val="both"/>
              <w:rPr>
                <w:rFonts w:ascii="Arial" w:hAnsi="Arial" w:cs="Arial"/>
                <w:sz w:val="20"/>
                <w:szCs w:val="20"/>
                <w:lang w:eastAsia="es-MX"/>
              </w:rPr>
            </w:pPr>
          </w:p>
        </w:tc>
        <w:tc>
          <w:tcPr>
            <w:tcW w:w="850" w:type="dxa"/>
          </w:tcPr>
          <w:p w:rsidR="00CC45CD" w:rsidRDefault="00CC45CD" w:rsidP="0039380B">
            <w:pPr>
              <w:jc w:val="center"/>
              <w:rPr>
                <w:rFonts w:ascii="Calibri" w:hAnsi="Calibri" w:cs="Arial"/>
                <w:b/>
                <w:bCs/>
              </w:rPr>
            </w:pPr>
          </w:p>
        </w:tc>
        <w:tc>
          <w:tcPr>
            <w:tcW w:w="6804" w:type="dxa"/>
          </w:tcPr>
          <w:p w:rsidR="00CC45CD" w:rsidRDefault="00951E47" w:rsidP="00F441FE">
            <w:pPr>
              <w:rPr>
                <w:rFonts w:ascii="Calibri" w:hAnsi="Calibri" w:cs="Arial"/>
                <w:b/>
                <w:bCs/>
              </w:rPr>
            </w:pPr>
            <w:r>
              <w:rPr>
                <w:rFonts w:ascii="Calibri" w:hAnsi="Calibri" w:cs="Arial"/>
                <w:bCs/>
              </w:rPr>
              <w:t>S</w:t>
            </w:r>
            <w:r w:rsidRPr="00EF367E">
              <w:rPr>
                <w:rFonts w:ascii="Calibri" w:hAnsi="Calibri" w:cs="Arial"/>
                <w:bCs/>
              </w:rPr>
              <w:t>e considera que No Aplica la observación ya que tanto en la ESIDET, que cuantifica la población potencial, como en el RENICYT, que cuantifica la Población objetivo, no sólo se consideran</w:t>
            </w:r>
            <w:r>
              <w:rPr>
                <w:rFonts w:ascii="Calibri" w:hAnsi="Calibri" w:cs="Arial"/>
                <w:bCs/>
              </w:rPr>
              <w:t xml:space="preserve"> a las </w:t>
            </w:r>
            <w:r>
              <w:rPr>
                <w:rFonts w:ascii="Calibri" w:hAnsi="Calibri" w:cs="Arial"/>
                <w:bCs/>
              </w:rPr>
              <w:t xml:space="preserve">empresas </w:t>
            </w:r>
            <w:r>
              <w:rPr>
                <w:rFonts w:ascii="Calibri" w:hAnsi="Calibri" w:cs="Arial"/>
                <w:bCs/>
              </w:rPr>
              <w:t>que ya innovan, sino a aquellas interesadas en hacerlo, cubriendo así la observación.</w:t>
            </w:r>
          </w:p>
        </w:tc>
      </w:tr>
      <w:tr w:rsidR="004B7483" w:rsidTr="00BE66BB">
        <w:tc>
          <w:tcPr>
            <w:tcW w:w="6488" w:type="dxa"/>
          </w:tcPr>
          <w:p w:rsidR="0049579C" w:rsidRDefault="00DB748C" w:rsidP="0049579C">
            <w:pPr>
              <w:autoSpaceDE w:val="0"/>
              <w:autoSpaceDN w:val="0"/>
              <w:adjustRightInd w:val="0"/>
              <w:rPr>
                <w:rFonts w:ascii="Arial" w:hAnsi="Arial" w:cs="Arial"/>
                <w:b/>
                <w:bCs/>
                <w:sz w:val="20"/>
                <w:szCs w:val="20"/>
                <w:lang w:eastAsia="es-MX"/>
              </w:rPr>
            </w:pPr>
            <w:r w:rsidRPr="00DB748C">
              <w:rPr>
                <w:rFonts w:ascii="Arial" w:hAnsi="Arial" w:cs="Arial"/>
                <w:b/>
                <w:bCs/>
                <w:sz w:val="20"/>
                <w:szCs w:val="20"/>
                <w:lang w:eastAsia="es-MX"/>
              </w:rPr>
              <w:t>Observaciones Generales sobre los Indicadores Seleccionados</w:t>
            </w:r>
          </w:p>
          <w:p w:rsidR="00416EEC" w:rsidRDefault="00416EEC" w:rsidP="00663601">
            <w:pPr>
              <w:autoSpaceDE w:val="0"/>
              <w:autoSpaceDN w:val="0"/>
              <w:adjustRightInd w:val="0"/>
              <w:rPr>
                <w:rFonts w:ascii="Arial" w:hAnsi="Arial" w:cs="Arial"/>
                <w:sz w:val="20"/>
                <w:szCs w:val="20"/>
                <w:lang w:eastAsia="es-MX"/>
              </w:rPr>
            </w:pPr>
          </w:p>
          <w:p w:rsidR="00CC45CD" w:rsidRDefault="00CC45CD" w:rsidP="005836B5">
            <w:pPr>
              <w:autoSpaceDE w:val="0"/>
              <w:autoSpaceDN w:val="0"/>
              <w:adjustRightInd w:val="0"/>
              <w:jc w:val="both"/>
              <w:rPr>
                <w:rFonts w:ascii="Arial" w:hAnsi="Arial" w:cs="Arial"/>
                <w:sz w:val="20"/>
                <w:szCs w:val="20"/>
                <w:lang w:eastAsia="es-MX"/>
              </w:rPr>
            </w:pPr>
            <w:r>
              <w:rPr>
                <w:rFonts w:ascii="Arial" w:hAnsi="Arial" w:cs="Arial"/>
                <w:sz w:val="20"/>
                <w:szCs w:val="20"/>
                <w:lang w:eastAsia="es-MX"/>
              </w:rPr>
              <w:t>Los indicadores de la MIR 2012 presentan áreas de oportunidad tanto en términos de</w:t>
            </w:r>
            <w:r w:rsidR="005836B5">
              <w:rPr>
                <w:rFonts w:ascii="Arial" w:hAnsi="Arial" w:cs="Arial"/>
                <w:sz w:val="20"/>
                <w:szCs w:val="20"/>
                <w:lang w:eastAsia="es-MX"/>
              </w:rPr>
              <w:t xml:space="preserve"> </w:t>
            </w:r>
            <w:r>
              <w:rPr>
                <w:rFonts w:ascii="Arial" w:hAnsi="Arial" w:cs="Arial"/>
                <w:sz w:val="20"/>
                <w:szCs w:val="20"/>
                <w:lang w:eastAsia="es-MX"/>
              </w:rPr>
              <w:t>su lógica horizontal como vertical. Con r</w:t>
            </w:r>
            <w:r w:rsidR="005836B5">
              <w:rPr>
                <w:rFonts w:ascii="Arial" w:hAnsi="Arial" w:cs="Arial"/>
                <w:sz w:val="20"/>
                <w:szCs w:val="20"/>
                <w:lang w:eastAsia="es-MX"/>
              </w:rPr>
              <w:t xml:space="preserve">especto a la lógica horizontal, </w:t>
            </w:r>
            <w:r>
              <w:rPr>
                <w:rFonts w:ascii="Arial" w:hAnsi="Arial" w:cs="Arial"/>
                <w:sz w:val="20"/>
                <w:szCs w:val="20"/>
                <w:lang w:eastAsia="es-MX"/>
              </w:rPr>
              <w:t>en el resumen</w:t>
            </w:r>
            <w:r w:rsidR="005836B5">
              <w:rPr>
                <w:rFonts w:ascii="Arial" w:hAnsi="Arial" w:cs="Arial"/>
                <w:sz w:val="20"/>
                <w:szCs w:val="20"/>
                <w:lang w:eastAsia="es-MX"/>
              </w:rPr>
              <w:t xml:space="preserve"> </w:t>
            </w:r>
            <w:r>
              <w:rPr>
                <w:rFonts w:ascii="Arial" w:hAnsi="Arial" w:cs="Arial"/>
                <w:sz w:val="20"/>
                <w:szCs w:val="20"/>
                <w:lang w:eastAsia="es-MX"/>
              </w:rPr>
              <w:t>narrativo a nivel de Fin se establece</w:t>
            </w:r>
            <w:r w:rsidR="005836B5">
              <w:rPr>
                <w:rFonts w:ascii="Arial" w:hAnsi="Arial" w:cs="Arial"/>
                <w:sz w:val="20"/>
                <w:szCs w:val="20"/>
                <w:lang w:eastAsia="es-MX"/>
              </w:rPr>
              <w:t xml:space="preserve"> que el programa contribuirá al </w:t>
            </w:r>
            <w:r>
              <w:rPr>
                <w:rFonts w:ascii="Arial" w:hAnsi="Arial" w:cs="Arial"/>
                <w:sz w:val="20"/>
                <w:szCs w:val="20"/>
                <w:lang w:eastAsia="es-MX"/>
              </w:rPr>
              <w:t>incremento de la</w:t>
            </w:r>
            <w:r w:rsidR="005836B5">
              <w:rPr>
                <w:rFonts w:ascii="Arial" w:hAnsi="Arial" w:cs="Arial"/>
                <w:sz w:val="20"/>
                <w:szCs w:val="20"/>
                <w:lang w:eastAsia="es-MX"/>
              </w:rPr>
              <w:t xml:space="preserve"> </w:t>
            </w:r>
            <w:r>
              <w:rPr>
                <w:rFonts w:ascii="Arial" w:hAnsi="Arial" w:cs="Arial"/>
                <w:sz w:val="20"/>
                <w:szCs w:val="20"/>
                <w:lang w:eastAsia="es-MX"/>
              </w:rPr>
              <w:t>producción industrial. Sin embargo, los</w:t>
            </w:r>
            <w:r w:rsidR="005836B5">
              <w:rPr>
                <w:rFonts w:ascii="Arial" w:hAnsi="Arial" w:cs="Arial"/>
                <w:sz w:val="20"/>
                <w:szCs w:val="20"/>
                <w:lang w:eastAsia="es-MX"/>
              </w:rPr>
              <w:t xml:space="preserve"> indicadores utilizados en este </w:t>
            </w:r>
            <w:r>
              <w:rPr>
                <w:rFonts w:ascii="Arial" w:hAnsi="Arial" w:cs="Arial"/>
                <w:sz w:val="20"/>
                <w:szCs w:val="20"/>
                <w:lang w:eastAsia="es-MX"/>
              </w:rPr>
              <w:t>nivel están</w:t>
            </w:r>
            <w:r w:rsidR="005836B5">
              <w:rPr>
                <w:rFonts w:ascii="Arial" w:hAnsi="Arial" w:cs="Arial"/>
                <w:sz w:val="20"/>
                <w:szCs w:val="20"/>
                <w:lang w:eastAsia="es-MX"/>
              </w:rPr>
              <w:t xml:space="preserve"> </w:t>
            </w:r>
            <w:r>
              <w:rPr>
                <w:rFonts w:ascii="Arial" w:hAnsi="Arial" w:cs="Arial"/>
                <w:sz w:val="20"/>
                <w:szCs w:val="20"/>
                <w:lang w:eastAsia="es-MX"/>
              </w:rPr>
              <w:t>conformados por el "</w:t>
            </w:r>
            <w:r w:rsidR="005836B5">
              <w:rPr>
                <w:rFonts w:ascii="Arial" w:hAnsi="Arial" w:cs="Arial"/>
                <w:sz w:val="20"/>
                <w:szCs w:val="20"/>
                <w:lang w:eastAsia="es-MX"/>
              </w:rPr>
              <w:t>Índice</w:t>
            </w:r>
            <w:r>
              <w:rPr>
                <w:rFonts w:ascii="Arial" w:hAnsi="Arial" w:cs="Arial"/>
                <w:sz w:val="20"/>
                <w:szCs w:val="20"/>
                <w:lang w:eastAsia="es-MX"/>
              </w:rPr>
              <w:t xml:space="preserve"> de Produc</w:t>
            </w:r>
            <w:r w:rsidR="005836B5">
              <w:rPr>
                <w:rFonts w:ascii="Arial" w:hAnsi="Arial" w:cs="Arial"/>
                <w:sz w:val="20"/>
                <w:szCs w:val="20"/>
                <w:lang w:eastAsia="es-MX"/>
              </w:rPr>
              <w:t xml:space="preserve">ción Industrial" y, el segundo, </w:t>
            </w:r>
            <w:r>
              <w:rPr>
                <w:rFonts w:ascii="Arial" w:hAnsi="Arial" w:cs="Arial"/>
                <w:sz w:val="20"/>
                <w:szCs w:val="20"/>
                <w:lang w:eastAsia="es-MX"/>
              </w:rPr>
              <w:t>por la medición de</w:t>
            </w:r>
            <w:r w:rsidR="005836B5">
              <w:rPr>
                <w:rFonts w:ascii="Arial" w:hAnsi="Arial" w:cs="Arial"/>
                <w:sz w:val="20"/>
                <w:szCs w:val="20"/>
                <w:lang w:eastAsia="es-MX"/>
              </w:rPr>
              <w:t xml:space="preserve"> </w:t>
            </w:r>
            <w:r>
              <w:rPr>
                <w:rFonts w:ascii="Arial" w:hAnsi="Arial" w:cs="Arial"/>
                <w:sz w:val="20"/>
                <w:szCs w:val="20"/>
                <w:lang w:eastAsia="es-MX"/>
              </w:rPr>
              <w:t>la "Cooperación para la innovación</w:t>
            </w:r>
            <w:r w:rsidR="005836B5">
              <w:rPr>
                <w:rFonts w:ascii="Arial" w:hAnsi="Arial" w:cs="Arial"/>
                <w:sz w:val="20"/>
                <w:szCs w:val="20"/>
                <w:lang w:eastAsia="es-MX"/>
              </w:rPr>
              <w:t xml:space="preserve"> entre empresas e institutos de </w:t>
            </w:r>
            <w:r>
              <w:rPr>
                <w:rFonts w:ascii="Arial" w:hAnsi="Arial" w:cs="Arial"/>
                <w:sz w:val="20"/>
                <w:szCs w:val="20"/>
                <w:lang w:eastAsia="es-MX"/>
              </w:rPr>
              <w:t>investigación". El</w:t>
            </w:r>
            <w:r w:rsidR="005836B5">
              <w:rPr>
                <w:rFonts w:ascii="Arial" w:hAnsi="Arial" w:cs="Arial"/>
                <w:sz w:val="20"/>
                <w:szCs w:val="20"/>
                <w:lang w:eastAsia="es-MX"/>
              </w:rPr>
              <w:t xml:space="preserve"> </w:t>
            </w:r>
            <w:r>
              <w:rPr>
                <w:rFonts w:ascii="Arial" w:hAnsi="Arial" w:cs="Arial"/>
                <w:sz w:val="20"/>
                <w:szCs w:val="20"/>
                <w:lang w:eastAsia="es-MX"/>
              </w:rPr>
              <w:t>indicador relativo al índice de Produ</w:t>
            </w:r>
            <w:r w:rsidR="005836B5">
              <w:rPr>
                <w:rFonts w:ascii="Arial" w:hAnsi="Arial" w:cs="Arial"/>
                <w:sz w:val="20"/>
                <w:szCs w:val="20"/>
                <w:lang w:eastAsia="es-MX"/>
              </w:rPr>
              <w:t xml:space="preserve">cción Industrial no es adecuado </w:t>
            </w:r>
            <w:r>
              <w:rPr>
                <w:rFonts w:ascii="Arial" w:hAnsi="Arial" w:cs="Arial"/>
                <w:sz w:val="20"/>
                <w:szCs w:val="20"/>
                <w:lang w:eastAsia="es-MX"/>
              </w:rPr>
              <w:t>debido a que la</w:t>
            </w:r>
            <w:r w:rsidR="005836B5">
              <w:rPr>
                <w:rFonts w:ascii="Arial" w:hAnsi="Arial" w:cs="Arial"/>
                <w:sz w:val="20"/>
                <w:szCs w:val="20"/>
                <w:lang w:eastAsia="es-MX"/>
              </w:rPr>
              <w:t xml:space="preserve"> </w:t>
            </w:r>
            <w:r>
              <w:rPr>
                <w:rFonts w:ascii="Arial" w:hAnsi="Arial" w:cs="Arial"/>
                <w:sz w:val="20"/>
                <w:szCs w:val="20"/>
                <w:lang w:eastAsia="es-MX"/>
              </w:rPr>
              <w:t>variación en la posición que se ocu</w:t>
            </w:r>
            <w:r w:rsidR="005836B5">
              <w:rPr>
                <w:rFonts w:ascii="Arial" w:hAnsi="Arial" w:cs="Arial"/>
                <w:sz w:val="20"/>
                <w:szCs w:val="20"/>
                <w:lang w:eastAsia="es-MX"/>
              </w:rPr>
              <w:t xml:space="preserve">pe en él no es resultado de las </w:t>
            </w:r>
            <w:r>
              <w:rPr>
                <w:rFonts w:ascii="Arial" w:hAnsi="Arial" w:cs="Arial"/>
                <w:sz w:val="20"/>
                <w:szCs w:val="20"/>
                <w:lang w:eastAsia="es-MX"/>
              </w:rPr>
              <w:t>acciones del</w:t>
            </w:r>
            <w:r w:rsidR="005836B5">
              <w:rPr>
                <w:rFonts w:ascii="Arial" w:hAnsi="Arial" w:cs="Arial"/>
                <w:sz w:val="20"/>
                <w:szCs w:val="20"/>
                <w:lang w:eastAsia="es-MX"/>
              </w:rPr>
              <w:t xml:space="preserve"> </w:t>
            </w:r>
            <w:r>
              <w:rPr>
                <w:rFonts w:ascii="Arial" w:hAnsi="Arial" w:cs="Arial"/>
                <w:sz w:val="20"/>
                <w:szCs w:val="20"/>
                <w:lang w:eastAsia="es-MX"/>
              </w:rPr>
              <w:t>programa. Es cierto que, de ac</w:t>
            </w:r>
            <w:r w:rsidR="005836B5">
              <w:rPr>
                <w:rFonts w:ascii="Arial" w:hAnsi="Arial" w:cs="Arial"/>
                <w:sz w:val="20"/>
                <w:szCs w:val="20"/>
                <w:lang w:eastAsia="es-MX"/>
              </w:rPr>
              <w:t xml:space="preserve">uerdo a la metodología de marco </w:t>
            </w:r>
            <w:r>
              <w:rPr>
                <w:rFonts w:ascii="Arial" w:hAnsi="Arial" w:cs="Arial"/>
                <w:sz w:val="20"/>
                <w:szCs w:val="20"/>
                <w:lang w:eastAsia="es-MX"/>
              </w:rPr>
              <w:t>lógico, no se espera</w:t>
            </w:r>
            <w:r w:rsidR="005836B5">
              <w:rPr>
                <w:rFonts w:ascii="Arial" w:hAnsi="Arial" w:cs="Arial"/>
                <w:sz w:val="20"/>
                <w:szCs w:val="20"/>
                <w:lang w:eastAsia="es-MX"/>
              </w:rPr>
              <w:t xml:space="preserve"> </w:t>
            </w:r>
            <w:r>
              <w:rPr>
                <w:rFonts w:ascii="Arial" w:hAnsi="Arial" w:cs="Arial"/>
                <w:sz w:val="20"/>
                <w:szCs w:val="20"/>
                <w:lang w:eastAsia="es-MX"/>
              </w:rPr>
              <w:t>que la implementación del programa sea suficiente para alcanzar el Fin, pero sí debe hacer una contribución significativa a lograrlo. Además, el índice se construye con datos previos al año en el que se presenta, de forma que la posición obtenida en 2012 no podría ser reflejo del desempeño del programa ese año. El indicador que me mide la cooperación entre empresas e institutos de investigación no está relacionado con el objetivo nacional al que contribuye el programa, sino con la solución que (en la práctica) brinda el programa para solventar el problema público que lo justifica, es decir, con la promoción de alianzas entre empresas e institutos de investigación para generar desarrollo tecnológico e innovación. Este indicador sería más adecuado a nivel de propósito.</w:t>
            </w:r>
          </w:p>
          <w:p w:rsidR="00CC45CD" w:rsidRDefault="00CC45CD" w:rsidP="005836B5">
            <w:pPr>
              <w:autoSpaceDE w:val="0"/>
              <w:autoSpaceDN w:val="0"/>
              <w:adjustRightInd w:val="0"/>
              <w:jc w:val="both"/>
              <w:rPr>
                <w:rFonts w:ascii="Arial" w:hAnsi="Arial" w:cs="Arial"/>
                <w:sz w:val="20"/>
                <w:szCs w:val="20"/>
                <w:lang w:eastAsia="es-MX"/>
              </w:rPr>
            </w:pPr>
          </w:p>
          <w:p w:rsidR="00CC45CD" w:rsidRDefault="00CC45CD" w:rsidP="005836B5">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A nivel de Propósito, la indefinición de "desarrollo tecnológico e innovación" impide determinar si los "nuevos productos" y las "acciones de propiedad intelectual" que desarrolla el programa, son </w:t>
            </w:r>
            <w:proofErr w:type="gramStart"/>
            <w:r>
              <w:rPr>
                <w:rFonts w:ascii="Arial" w:hAnsi="Arial" w:cs="Arial"/>
                <w:sz w:val="20"/>
                <w:szCs w:val="20"/>
                <w:lang w:eastAsia="es-MX"/>
              </w:rPr>
              <w:t>adecuadas</w:t>
            </w:r>
            <w:proofErr w:type="gramEnd"/>
            <w:r>
              <w:rPr>
                <w:rFonts w:ascii="Arial" w:hAnsi="Arial" w:cs="Arial"/>
                <w:sz w:val="20"/>
                <w:szCs w:val="20"/>
                <w:lang w:eastAsia="es-MX"/>
              </w:rPr>
              <w:t xml:space="preserve"> para generarlo.</w:t>
            </w:r>
          </w:p>
          <w:p w:rsidR="00CC45CD" w:rsidRDefault="00CC45CD" w:rsidP="005836B5">
            <w:pPr>
              <w:autoSpaceDE w:val="0"/>
              <w:autoSpaceDN w:val="0"/>
              <w:adjustRightInd w:val="0"/>
              <w:jc w:val="both"/>
              <w:rPr>
                <w:rFonts w:ascii="Arial" w:hAnsi="Arial" w:cs="Arial"/>
                <w:sz w:val="20"/>
                <w:szCs w:val="20"/>
                <w:lang w:eastAsia="es-MX"/>
              </w:rPr>
            </w:pPr>
          </w:p>
          <w:p w:rsidR="00DB748C" w:rsidRPr="00DB748C" w:rsidRDefault="00CC45CD" w:rsidP="005836B5">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Finalmente, llama la atención que ambos indicadores de Propósito hayan presentado un valor de 0, </w:t>
            </w:r>
            <w:r w:rsidR="005836B5">
              <w:rPr>
                <w:rFonts w:ascii="Arial" w:hAnsi="Arial" w:cs="Arial"/>
                <w:sz w:val="20"/>
                <w:szCs w:val="20"/>
                <w:lang w:eastAsia="es-MX"/>
              </w:rPr>
              <w:t>aun</w:t>
            </w:r>
            <w:r>
              <w:rPr>
                <w:rFonts w:ascii="Arial" w:hAnsi="Arial" w:cs="Arial"/>
                <w:sz w:val="20"/>
                <w:szCs w:val="20"/>
                <w:lang w:eastAsia="es-MX"/>
              </w:rPr>
              <w:t xml:space="preserve"> cuando el valor de la línea base es de 100. Si bien el programa ha argumentado que esto se debe a que los informes que emiten las empresas deben ser revisados por un </w:t>
            </w:r>
            <w:r>
              <w:rPr>
                <w:rFonts w:ascii="Arial" w:hAnsi="Arial" w:cs="Arial"/>
                <w:sz w:val="20"/>
                <w:szCs w:val="20"/>
                <w:lang w:eastAsia="es-MX"/>
              </w:rPr>
              <w:lastRenderedPageBreak/>
              <w:t>evaluador del RCEA, quien determinará si el proyecto alcanzó sus objetivos y cumplió con los entregables; los datos para 2011 y 2010 aún se han presentado</w:t>
            </w:r>
          </w:p>
        </w:tc>
        <w:tc>
          <w:tcPr>
            <w:tcW w:w="850" w:type="dxa"/>
          </w:tcPr>
          <w:p w:rsidR="004B7483" w:rsidRDefault="002059A2" w:rsidP="002059A2">
            <w:pPr>
              <w:jc w:val="center"/>
              <w:rPr>
                <w:rFonts w:ascii="Calibri" w:hAnsi="Calibri" w:cs="Arial"/>
                <w:b/>
                <w:bCs/>
              </w:rPr>
            </w:pPr>
            <w:r>
              <w:rPr>
                <w:rFonts w:ascii="Calibri" w:hAnsi="Calibri" w:cs="Arial"/>
                <w:b/>
                <w:bCs/>
              </w:rPr>
              <w:lastRenderedPageBreak/>
              <w:t>21</w:t>
            </w:r>
            <w:r w:rsidR="00DB748C">
              <w:rPr>
                <w:rFonts w:ascii="Calibri" w:hAnsi="Calibri" w:cs="Arial"/>
                <w:b/>
                <w:bCs/>
              </w:rPr>
              <w:t>/</w:t>
            </w:r>
            <w:r>
              <w:rPr>
                <w:rFonts w:ascii="Calibri" w:hAnsi="Calibri" w:cs="Arial"/>
                <w:b/>
                <w:bCs/>
              </w:rPr>
              <w:t>24</w:t>
            </w:r>
          </w:p>
        </w:tc>
        <w:tc>
          <w:tcPr>
            <w:tcW w:w="6804" w:type="dxa"/>
          </w:tcPr>
          <w:p w:rsidR="004B7483" w:rsidRDefault="00951E47" w:rsidP="00951E47">
            <w:pPr>
              <w:rPr>
                <w:rFonts w:ascii="Calibri" w:hAnsi="Calibri" w:cs="Arial"/>
                <w:b/>
                <w:bCs/>
              </w:rPr>
            </w:pPr>
            <w:r>
              <w:rPr>
                <w:rFonts w:ascii="Calibri" w:hAnsi="Calibri" w:cs="Arial"/>
                <w:bCs/>
              </w:rPr>
              <w:t>Respecto a la</w:t>
            </w:r>
            <w:r>
              <w:rPr>
                <w:rFonts w:ascii="Calibri" w:hAnsi="Calibri" w:cs="Arial"/>
                <w:bCs/>
              </w:rPr>
              <w:t>s</w:t>
            </w:r>
            <w:r>
              <w:rPr>
                <w:rFonts w:ascii="Calibri" w:hAnsi="Calibri" w:cs="Arial"/>
                <w:bCs/>
              </w:rPr>
              <w:t xml:space="preserve"> observaci</w:t>
            </w:r>
            <w:r>
              <w:rPr>
                <w:rFonts w:ascii="Calibri" w:hAnsi="Calibri" w:cs="Arial"/>
                <w:bCs/>
              </w:rPr>
              <w:t>ones</w:t>
            </w:r>
            <w:r>
              <w:rPr>
                <w:rFonts w:ascii="Calibri" w:hAnsi="Calibri" w:cs="Arial"/>
                <w:bCs/>
              </w:rPr>
              <w:t xml:space="preserve"> relacionada</w:t>
            </w:r>
            <w:r>
              <w:rPr>
                <w:rFonts w:ascii="Calibri" w:hAnsi="Calibri" w:cs="Arial"/>
                <w:bCs/>
              </w:rPr>
              <w:t>s</w:t>
            </w:r>
            <w:r>
              <w:rPr>
                <w:rFonts w:ascii="Calibri" w:hAnsi="Calibri" w:cs="Arial"/>
                <w:bCs/>
              </w:rPr>
              <w:t xml:space="preserve"> con los indicadores de </w:t>
            </w:r>
            <w:r>
              <w:rPr>
                <w:rFonts w:ascii="Calibri" w:hAnsi="Calibri" w:cs="Arial"/>
                <w:bCs/>
              </w:rPr>
              <w:t>la MIR 2013 del Programa</w:t>
            </w:r>
            <w:r>
              <w:rPr>
                <w:rFonts w:ascii="Calibri" w:hAnsi="Calibri" w:cs="Arial"/>
                <w:bCs/>
              </w:rPr>
              <w:t>, se considera que la</w:t>
            </w:r>
            <w:r>
              <w:rPr>
                <w:rFonts w:ascii="Calibri" w:hAnsi="Calibri" w:cs="Arial"/>
                <w:bCs/>
              </w:rPr>
              <w:t>s</w:t>
            </w:r>
            <w:r>
              <w:rPr>
                <w:rFonts w:ascii="Calibri" w:hAnsi="Calibri" w:cs="Arial"/>
                <w:bCs/>
              </w:rPr>
              <w:t xml:space="preserve"> misma</w:t>
            </w:r>
            <w:r>
              <w:rPr>
                <w:rFonts w:ascii="Calibri" w:hAnsi="Calibri" w:cs="Arial"/>
                <w:bCs/>
              </w:rPr>
              <w:t>s</w:t>
            </w:r>
            <w:r>
              <w:rPr>
                <w:rFonts w:ascii="Calibri" w:hAnsi="Calibri" w:cs="Arial"/>
                <w:bCs/>
              </w:rPr>
              <w:t xml:space="preserve"> No Aplica</w:t>
            </w:r>
            <w:r>
              <w:rPr>
                <w:rFonts w:ascii="Calibri" w:hAnsi="Calibri" w:cs="Arial"/>
                <w:bCs/>
              </w:rPr>
              <w:t>n</w:t>
            </w:r>
            <w:r>
              <w:rPr>
                <w:rFonts w:ascii="Calibri" w:hAnsi="Calibri" w:cs="Arial"/>
                <w:bCs/>
              </w:rPr>
              <w:t xml:space="preserve"> ya que la totalidad de indicadores de la MIR 2014 del Programa fueron modificados.</w:t>
            </w:r>
            <w:bookmarkStart w:id="0" w:name="_GoBack"/>
            <w:bookmarkEnd w:id="0"/>
          </w:p>
        </w:tc>
      </w:tr>
    </w:tbl>
    <w:p w:rsidR="004B7483" w:rsidRDefault="004B7483" w:rsidP="004B7483">
      <w:pPr>
        <w:ind w:left="-284"/>
        <w:jc w:val="center"/>
        <w:rPr>
          <w:rFonts w:ascii="Calibri" w:hAnsi="Calibri" w:cs="Arial"/>
          <w:b/>
          <w:bCs/>
        </w:rPr>
      </w:pPr>
    </w:p>
    <w:p w:rsidR="004B7483" w:rsidRDefault="004B7483" w:rsidP="004B7483">
      <w:pPr>
        <w:ind w:left="-284"/>
        <w:jc w:val="center"/>
        <w:rPr>
          <w:rFonts w:ascii="Calibri" w:hAnsi="Calibri" w:cs="Arial"/>
          <w:b/>
          <w:bCs/>
        </w:rPr>
      </w:pPr>
      <w:r>
        <w:rPr>
          <w:rFonts w:ascii="Calibri" w:hAnsi="Calibri" w:cs="Arial"/>
          <w:b/>
          <w:bCs/>
        </w:rPr>
        <w:t>Claridad.- Estar expresado en forma precisa</w:t>
      </w:r>
    </w:p>
    <w:p w:rsidR="004B7483" w:rsidRDefault="004B7483" w:rsidP="004B7483">
      <w:pPr>
        <w:ind w:left="-284"/>
        <w:jc w:val="center"/>
        <w:rPr>
          <w:rFonts w:ascii="Calibri" w:hAnsi="Calibri" w:cs="Arial"/>
          <w:b/>
          <w:bCs/>
        </w:rPr>
      </w:pPr>
      <w:r>
        <w:rPr>
          <w:rFonts w:ascii="Calibri" w:hAnsi="Calibri" w:cs="Arial"/>
          <w:b/>
          <w:bCs/>
        </w:rPr>
        <w:t>Relevancia.- Ser una aportación específica y significativa para el logro del propósito y de los componentes del programa</w:t>
      </w:r>
    </w:p>
    <w:p w:rsidR="004B7483" w:rsidRDefault="004B7483" w:rsidP="004B7483">
      <w:pPr>
        <w:ind w:left="-284"/>
        <w:jc w:val="center"/>
        <w:rPr>
          <w:rFonts w:ascii="Calibri" w:hAnsi="Calibri" w:cs="Arial"/>
          <w:b/>
          <w:bCs/>
        </w:rPr>
      </w:pPr>
      <w:r>
        <w:rPr>
          <w:rFonts w:ascii="Calibri" w:hAnsi="Calibri" w:cs="Arial"/>
          <w:b/>
          <w:bCs/>
        </w:rPr>
        <w:t>Justificación.- Estar sustentado mediante la identificación de un problema, debilidad, oportunidad o amenaza</w:t>
      </w:r>
    </w:p>
    <w:p w:rsidR="004B7483" w:rsidRDefault="004B7483" w:rsidP="004B7483">
      <w:pPr>
        <w:ind w:left="-284"/>
        <w:jc w:val="center"/>
        <w:rPr>
          <w:rFonts w:ascii="Calibri" w:hAnsi="Calibri" w:cs="Arial"/>
          <w:b/>
          <w:bCs/>
        </w:rPr>
      </w:pPr>
      <w:r>
        <w:rPr>
          <w:rFonts w:ascii="Calibri" w:hAnsi="Calibri" w:cs="Arial"/>
          <w:b/>
          <w:bCs/>
        </w:rPr>
        <w:t>Factibilidad.- Ser viable de llevar a cabo en un plazo determinado, por una o varias instancias gubernamentales</w:t>
      </w:r>
    </w:p>
    <w:p w:rsidR="004B7483" w:rsidRDefault="004B7483" w:rsidP="004B7483">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393F52" w:rsidRDefault="00393F52" w:rsidP="0012417B">
      <w:pPr>
        <w:rPr>
          <w:rFonts w:ascii="Calibri" w:hAnsi="Calibri" w:cs="Arial"/>
          <w:b/>
          <w:bCs/>
        </w:rPr>
      </w:pPr>
    </w:p>
    <w:sectPr w:rsidR="00393F52" w:rsidSect="003375DC">
      <w:footerReference w:type="default" r:id="rId9"/>
      <w:pgSz w:w="15842" w:h="12242" w:orient="landscape" w:code="1"/>
      <w:pgMar w:top="851" w:right="1100"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F5" w:rsidRDefault="004232F5" w:rsidP="00537DBD">
      <w:r>
        <w:separator/>
      </w:r>
    </w:p>
  </w:endnote>
  <w:endnote w:type="continuationSeparator" w:id="0">
    <w:p w:rsidR="004232F5" w:rsidRDefault="004232F5" w:rsidP="0053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BD" w:rsidRDefault="00F13DD5">
    <w:pPr>
      <w:pStyle w:val="Piedepgina"/>
      <w:jc w:val="right"/>
    </w:pPr>
    <w:r>
      <w:fldChar w:fldCharType="begin"/>
    </w:r>
    <w:r>
      <w:instrText xml:space="preserve"> PAGE   \* MERGEFORMAT </w:instrText>
    </w:r>
    <w:r>
      <w:fldChar w:fldCharType="separate"/>
    </w:r>
    <w:r w:rsidR="00951E47">
      <w:rPr>
        <w:noProof/>
      </w:rPr>
      <w:t>2</w:t>
    </w:r>
    <w:r>
      <w:rPr>
        <w:noProof/>
      </w:rPr>
      <w:fldChar w:fldCharType="end"/>
    </w:r>
  </w:p>
  <w:p w:rsidR="00537DBD" w:rsidRDefault="00537D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F5" w:rsidRDefault="004232F5" w:rsidP="00537DBD">
      <w:r>
        <w:separator/>
      </w:r>
    </w:p>
  </w:footnote>
  <w:footnote w:type="continuationSeparator" w:id="0">
    <w:p w:rsidR="004232F5" w:rsidRDefault="004232F5" w:rsidP="00537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95F"/>
    <w:multiLevelType w:val="hybridMultilevel"/>
    <w:tmpl w:val="A3884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E32671"/>
    <w:multiLevelType w:val="hybridMultilevel"/>
    <w:tmpl w:val="7470553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C8D25A2"/>
    <w:multiLevelType w:val="hybridMultilevel"/>
    <w:tmpl w:val="E5D2387A"/>
    <w:lvl w:ilvl="0" w:tplc="AEB4E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451980"/>
    <w:multiLevelType w:val="hybridMultilevel"/>
    <w:tmpl w:val="D7D0D8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0807F28"/>
    <w:multiLevelType w:val="hybridMultilevel"/>
    <w:tmpl w:val="D78C8FD0"/>
    <w:lvl w:ilvl="0" w:tplc="131C70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17410"/>
    <w:multiLevelType w:val="hybridMultilevel"/>
    <w:tmpl w:val="9B6648F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348D36D6"/>
    <w:multiLevelType w:val="hybridMultilevel"/>
    <w:tmpl w:val="F782F742"/>
    <w:lvl w:ilvl="0" w:tplc="080A0011">
      <w:start w:val="1"/>
      <w:numFmt w:val="decimal"/>
      <w:lvlText w:val="%1)"/>
      <w:lvlJc w:val="left"/>
      <w:pPr>
        <w:ind w:left="394" w:hanging="360"/>
      </w:p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7">
    <w:nsid w:val="3B4C24D6"/>
    <w:multiLevelType w:val="hybridMultilevel"/>
    <w:tmpl w:val="84308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1F7A40"/>
    <w:multiLevelType w:val="hybridMultilevel"/>
    <w:tmpl w:val="A2AE8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8B394F"/>
    <w:multiLevelType w:val="hybridMultilevel"/>
    <w:tmpl w:val="C618211E"/>
    <w:lvl w:ilvl="0" w:tplc="19A895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C62E42"/>
    <w:multiLevelType w:val="hybridMultilevel"/>
    <w:tmpl w:val="BCA8F484"/>
    <w:lvl w:ilvl="0" w:tplc="AEB4E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8183FB2"/>
    <w:multiLevelType w:val="hybridMultilevel"/>
    <w:tmpl w:val="98627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B33D96"/>
    <w:multiLevelType w:val="hybridMultilevel"/>
    <w:tmpl w:val="ADC861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0"/>
  </w:num>
  <w:num w:numId="6">
    <w:abstractNumId w:val="9"/>
  </w:num>
  <w:num w:numId="7">
    <w:abstractNumId w:val="11"/>
  </w:num>
  <w:num w:numId="8">
    <w:abstractNumId w:val="6"/>
  </w:num>
  <w:num w:numId="9">
    <w:abstractNumId w:val="7"/>
  </w:num>
  <w:num w:numId="10">
    <w:abstractNumId w:val="8"/>
  </w:num>
  <w:num w:numId="11">
    <w:abstractNumId w:val="10"/>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8E"/>
    <w:rsid w:val="00000BEE"/>
    <w:rsid w:val="000030BB"/>
    <w:rsid w:val="000034D0"/>
    <w:rsid w:val="00003EB5"/>
    <w:rsid w:val="00004CAA"/>
    <w:rsid w:val="00007780"/>
    <w:rsid w:val="00007901"/>
    <w:rsid w:val="00011FB4"/>
    <w:rsid w:val="0001248D"/>
    <w:rsid w:val="00013386"/>
    <w:rsid w:val="00013A51"/>
    <w:rsid w:val="00013CCA"/>
    <w:rsid w:val="00013D9E"/>
    <w:rsid w:val="00014198"/>
    <w:rsid w:val="00014C9F"/>
    <w:rsid w:val="00017ED5"/>
    <w:rsid w:val="00022624"/>
    <w:rsid w:val="00023320"/>
    <w:rsid w:val="00023CFD"/>
    <w:rsid w:val="000279BD"/>
    <w:rsid w:val="000279D0"/>
    <w:rsid w:val="0003132E"/>
    <w:rsid w:val="00031597"/>
    <w:rsid w:val="0003219E"/>
    <w:rsid w:val="000346B0"/>
    <w:rsid w:val="0003577B"/>
    <w:rsid w:val="00040DA8"/>
    <w:rsid w:val="0004267E"/>
    <w:rsid w:val="00044A15"/>
    <w:rsid w:val="00044E6B"/>
    <w:rsid w:val="00045A2D"/>
    <w:rsid w:val="00050BF2"/>
    <w:rsid w:val="00052993"/>
    <w:rsid w:val="000536CD"/>
    <w:rsid w:val="00053B73"/>
    <w:rsid w:val="000540AD"/>
    <w:rsid w:val="000559B6"/>
    <w:rsid w:val="00056026"/>
    <w:rsid w:val="00056938"/>
    <w:rsid w:val="00060697"/>
    <w:rsid w:val="0006125C"/>
    <w:rsid w:val="00062621"/>
    <w:rsid w:val="0007087B"/>
    <w:rsid w:val="00070BFA"/>
    <w:rsid w:val="0007220D"/>
    <w:rsid w:val="00072C3C"/>
    <w:rsid w:val="00073894"/>
    <w:rsid w:val="00075EFD"/>
    <w:rsid w:val="00081E2F"/>
    <w:rsid w:val="0008235F"/>
    <w:rsid w:val="00083E5D"/>
    <w:rsid w:val="00083E65"/>
    <w:rsid w:val="000850D4"/>
    <w:rsid w:val="00086F62"/>
    <w:rsid w:val="00087CC3"/>
    <w:rsid w:val="00093DDF"/>
    <w:rsid w:val="00093F3B"/>
    <w:rsid w:val="0009609F"/>
    <w:rsid w:val="000975FF"/>
    <w:rsid w:val="000A17AE"/>
    <w:rsid w:val="000A2413"/>
    <w:rsid w:val="000A3430"/>
    <w:rsid w:val="000A3A32"/>
    <w:rsid w:val="000A5AA3"/>
    <w:rsid w:val="000B055E"/>
    <w:rsid w:val="000B58F8"/>
    <w:rsid w:val="000C0DFB"/>
    <w:rsid w:val="000C119E"/>
    <w:rsid w:val="000C16B1"/>
    <w:rsid w:val="000C2A08"/>
    <w:rsid w:val="000C2A7B"/>
    <w:rsid w:val="000C4E90"/>
    <w:rsid w:val="000C6B0C"/>
    <w:rsid w:val="000C6C84"/>
    <w:rsid w:val="000C7D08"/>
    <w:rsid w:val="000E137A"/>
    <w:rsid w:val="000E1E83"/>
    <w:rsid w:val="000E4A53"/>
    <w:rsid w:val="000E5AE3"/>
    <w:rsid w:val="000E5F9C"/>
    <w:rsid w:val="000E6840"/>
    <w:rsid w:val="000E78AC"/>
    <w:rsid w:val="000F3264"/>
    <w:rsid w:val="00101814"/>
    <w:rsid w:val="00101F0F"/>
    <w:rsid w:val="00105BB5"/>
    <w:rsid w:val="001065B8"/>
    <w:rsid w:val="001113F6"/>
    <w:rsid w:val="001120FB"/>
    <w:rsid w:val="0011376B"/>
    <w:rsid w:val="001146B4"/>
    <w:rsid w:val="001150A8"/>
    <w:rsid w:val="00115586"/>
    <w:rsid w:val="0011620E"/>
    <w:rsid w:val="00117B3B"/>
    <w:rsid w:val="00120AEE"/>
    <w:rsid w:val="0012417B"/>
    <w:rsid w:val="001265B7"/>
    <w:rsid w:val="00131FDF"/>
    <w:rsid w:val="00133BC5"/>
    <w:rsid w:val="00133DBD"/>
    <w:rsid w:val="00134D3A"/>
    <w:rsid w:val="00134EF1"/>
    <w:rsid w:val="00141D60"/>
    <w:rsid w:val="00152833"/>
    <w:rsid w:val="0015708A"/>
    <w:rsid w:val="001637B4"/>
    <w:rsid w:val="0016511E"/>
    <w:rsid w:val="001678BB"/>
    <w:rsid w:val="00170A4D"/>
    <w:rsid w:val="00174C86"/>
    <w:rsid w:val="00177030"/>
    <w:rsid w:val="00177782"/>
    <w:rsid w:val="00180176"/>
    <w:rsid w:val="0018206D"/>
    <w:rsid w:val="001829A2"/>
    <w:rsid w:val="001840D3"/>
    <w:rsid w:val="001843C2"/>
    <w:rsid w:val="0018772F"/>
    <w:rsid w:val="00187EA1"/>
    <w:rsid w:val="00190BF3"/>
    <w:rsid w:val="0019298C"/>
    <w:rsid w:val="00195225"/>
    <w:rsid w:val="001A0B68"/>
    <w:rsid w:val="001A7412"/>
    <w:rsid w:val="001B4A42"/>
    <w:rsid w:val="001B4CED"/>
    <w:rsid w:val="001B7461"/>
    <w:rsid w:val="001C3832"/>
    <w:rsid w:val="001C4554"/>
    <w:rsid w:val="001C52FA"/>
    <w:rsid w:val="001D14C8"/>
    <w:rsid w:val="001D39C3"/>
    <w:rsid w:val="001D4C14"/>
    <w:rsid w:val="001D65F4"/>
    <w:rsid w:val="001E2A5E"/>
    <w:rsid w:val="001E2D5B"/>
    <w:rsid w:val="001E60DE"/>
    <w:rsid w:val="001E764D"/>
    <w:rsid w:val="001F16DA"/>
    <w:rsid w:val="001F193C"/>
    <w:rsid w:val="001F5A24"/>
    <w:rsid w:val="00201087"/>
    <w:rsid w:val="0020245A"/>
    <w:rsid w:val="0020338C"/>
    <w:rsid w:val="002059A2"/>
    <w:rsid w:val="002067A9"/>
    <w:rsid w:val="00206F0D"/>
    <w:rsid w:val="00210193"/>
    <w:rsid w:val="0021705E"/>
    <w:rsid w:val="002205C4"/>
    <w:rsid w:val="0022238B"/>
    <w:rsid w:val="00222D03"/>
    <w:rsid w:val="002301C2"/>
    <w:rsid w:val="00230FAF"/>
    <w:rsid w:val="00231C9F"/>
    <w:rsid w:val="00233771"/>
    <w:rsid w:val="00234138"/>
    <w:rsid w:val="002351FF"/>
    <w:rsid w:val="00236D89"/>
    <w:rsid w:val="00236EBE"/>
    <w:rsid w:val="00240B67"/>
    <w:rsid w:val="002411C4"/>
    <w:rsid w:val="002441A8"/>
    <w:rsid w:val="00244E52"/>
    <w:rsid w:val="00245D25"/>
    <w:rsid w:val="00246677"/>
    <w:rsid w:val="00246812"/>
    <w:rsid w:val="00247C5C"/>
    <w:rsid w:val="00252B6C"/>
    <w:rsid w:val="00257AEB"/>
    <w:rsid w:val="00260128"/>
    <w:rsid w:val="00262B58"/>
    <w:rsid w:val="00263496"/>
    <w:rsid w:val="00263F0C"/>
    <w:rsid w:val="0027056D"/>
    <w:rsid w:val="00271EBF"/>
    <w:rsid w:val="00272C60"/>
    <w:rsid w:val="00273B40"/>
    <w:rsid w:val="00277C0F"/>
    <w:rsid w:val="00280728"/>
    <w:rsid w:val="002815EE"/>
    <w:rsid w:val="00282B29"/>
    <w:rsid w:val="00283112"/>
    <w:rsid w:val="002847BA"/>
    <w:rsid w:val="00286186"/>
    <w:rsid w:val="00287235"/>
    <w:rsid w:val="00287A38"/>
    <w:rsid w:val="00290505"/>
    <w:rsid w:val="002936BB"/>
    <w:rsid w:val="00296876"/>
    <w:rsid w:val="002A17C7"/>
    <w:rsid w:val="002A5E1A"/>
    <w:rsid w:val="002A6626"/>
    <w:rsid w:val="002A705C"/>
    <w:rsid w:val="002A72CD"/>
    <w:rsid w:val="002A7997"/>
    <w:rsid w:val="002B7B12"/>
    <w:rsid w:val="002C06CF"/>
    <w:rsid w:val="002C0B98"/>
    <w:rsid w:val="002C509C"/>
    <w:rsid w:val="002C53CB"/>
    <w:rsid w:val="002C5CBF"/>
    <w:rsid w:val="002C7572"/>
    <w:rsid w:val="002D382C"/>
    <w:rsid w:val="002D3DF1"/>
    <w:rsid w:val="002D651B"/>
    <w:rsid w:val="002E383B"/>
    <w:rsid w:val="002E6BE3"/>
    <w:rsid w:val="002F1417"/>
    <w:rsid w:val="002F145C"/>
    <w:rsid w:val="002F1995"/>
    <w:rsid w:val="002F2DEF"/>
    <w:rsid w:val="002F53B8"/>
    <w:rsid w:val="002F69BF"/>
    <w:rsid w:val="002F6DFF"/>
    <w:rsid w:val="003024F3"/>
    <w:rsid w:val="00302ADA"/>
    <w:rsid w:val="00306F47"/>
    <w:rsid w:val="003119C5"/>
    <w:rsid w:val="0031248B"/>
    <w:rsid w:val="0031256D"/>
    <w:rsid w:val="00312684"/>
    <w:rsid w:val="003129EF"/>
    <w:rsid w:val="003151C7"/>
    <w:rsid w:val="003157B1"/>
    <w:rsid w:val="00317A82"/>
    <w:rsid w:val="00317CAF"/>
    <w:rsid w:val="00320E3E"/>
    <w:rsid w:val="00321E6B"/>
    <w:rsid w:val="003225E9"/>
    <w:rsid w:val="00332CBD"/>
    <w:rsid w:val="003337CE"/>
    <w:rsid w:val="00333D19"/>
    <w:rsid w:val="003357AA"/>
    <w:rsid w:val="003375DC"/>
    <w:rsid w:val="00340DD1"/>
    <w:rsid w:val="00345A79"/>
    <w:rsid w:val="0034694B"/>
    <w:rsid w:val="00347AA7"/>
    <w:rsid w:val="00351385"/>
    <w:rsid w:val="0035160A"/>
    <w:rsid w:val="00352272"/>
    <w:rsid w:val="003541DD"/>
    <w:rsid w:val="003550BC"/>
    <w:rsid w:val="00360A08"/>
    <w:rsid w:val="00361F70"/>
    <w:rsid w:val="00365BD8"/>
    <w:rsid w:val="0036605D"/>
    <w:rsid w:val="003669CD"/>
    <w:rsid w:val="0037106B"/>
    <w:rsid w:val="00372389"/>
    <w:rsid w:val="00372558"/>
    <w:rsid w:val="003733D1"/>
    <w:rsid w:val="00374B0A"/>
    <w:rsid w:val="00375155"/>
    <w:rsid w:val="00377B8D"/>
    <w:rsid w:val="00381F7F"/>
    <w:rsid w:val="00383BE2"/>
    <w:rsid w:val="00383EFA"/>
    <w:rsid w:val="00384A4D"/>
    <w:rsid w:val="003868CE"/>
    <w:rsid w:val="00387527"/>
    <w:rsid w:val="00387F9E"/>
    <w:rsid w:val="00391586"/>
    <w:rsid w:val="0039380B"/>
    <w:rsid w:val="00393E19"/>
    <w:rsid w:val="00393F52"/>
    <w:rsid w:val="0039481C"/>
    <w:rsid w:val="00394B3A"/>
    <w:rsid w:val="003959A8"/>
    <w:rsid w:val="00396FB2"/>
    <w:rsid w:val="003A0E2A"/>
    <w:rsid w:val="003A195C"/>
    <w:rsid w:val="003A25BF"/>
    <w:rsid w:val="003A41A5"/>
    <w:rsid w:val="003A47BC"/>
    <w:rsid w:val="003A66EA"/>
    <w:rsid w:val="003A6E70"/>
    <w:rsid w:val="003A733F"/>
    <w:rsid w:val="003B0E00"/>
    <w:rsid w:val="003B3213"/>
    <w:rsid w:val="003B39B4"/>
    <w:rsid w:val="003B59B7"/>
    <w:rsid w:val="003C2D1B"/>
    <w:rsid w:val="003C4965"/>
    <w:rsid w:val="003C4F1B"/>
    <w:rsid w:val="003C52A4"/>
    <w:rsid w:val="003C5931"/>
    <w:rsid w:val="003D17BE"/>
    <w:rsid w:val="003D26A9"/>
    <w:rsid w:val="003D5411"/>
    <w:rsid w:val="003D5F0E"/>
    <w:rsid w:val="003E0117"/>
    <w:rsid w:val="003E0F7F"/>
    <w:rsid w:val="003E1619"/>
    <w:rsid w:val="003E1A30"/>
    <w:rsid w:val="003E4AA2"/>
    <w:rsid w:val="003E5122"/>
    <w:rsid w:val="003E7E45"/>
    <w:rsid w:val="003F1632"/>
    <w:rsid w:val="003F4C2D"/>
    <w:rsid w:val="003F57C1"/>
    <w:rsid w:val="003F606E"/>
    <w:rsid w:val="003F6740"/>
    <w:rsid w:val="003F73A2"/>
    <w:rsid w:val="004024D6"/>
    <w:rsid w:val="00403232"/>
    <w:rsid w:val="00416EEC"/>
    <w:rsid w:val="00420EF4"/>
    <w:rsid w:val="004232F5"/>
    <w:rsid w:val="004255D2"/>
    <w:rsid w:val="0042619C"/>
    <w:rsid w:val="00427409"/>
    <w:rsid w:val="004277A0"/>
    <w:rsid w:val="00427FEF"/>
    <w:rsid w:val="00433C45"/>
    <w:rsid w:val="00437DFF"/>
    <w:rsid w:val="00442CFF"/>
    <w:rsid w:val="004501DD"/>
    <w:rsid w:val="00450C9D"/>
    <w:rsid w:val="00452DDA"/>
    <w:rsid w:val="004536F2"/>
    <w:rsid w:val="0045534F"/>
    <w:rsid w:val="004553CA"/>
    <w:rsid w:val="004559A7"/>
    <w:rsid w:val="00455FF9"/>
    <w:rsid w:val="0045660F"/>
    <w:rsid w:val="00460C2A"/>
    <w:rsid w:val="004705C0"/>
    <w:rsid w:val="004712D0"/>
    <w:rsid w:val="0047345A"/>
    <w:rsid w:val="00477962"/>
    <w:rsid w:val="00477CA2"/>
    <w:rsid w:val="00481CEF"/>
    <w:rsid w:val="0048243E"/>
    <w:rsid w:val="00482492"/>
    <w:rsid w:val="00482914"/>
    <w:rsid w:val="0048383F"/>
    <w:rsid w:val="0048694D"/>
    <w:rsid w:val="004906CA"/>
    <w:rsid w:val="00491424"/>
    <w:rsid w:val="00492694"/>
    <w:rsid w:val="00492DC9"/>
    <w:rsid w:val="0049414D"/>
    <w:rsid w:val="0049579C"/>
    <w:rsid w:val="00496BD2"/>
    <w:rsid w:val="004A11ED"/>
    <w:rsid w:val="004A21AF"/>
    <w:rsid w:val="004A43CD"/>
    <w:rsid w:val="004A45D6"/>
    <w:rsid w:val="004B4AF2"/>
    <w:rsid w:val="004B7483"/>
    <w:rsid w:val="004C1AAA"/>
    <w:rsid w:val="004C3464"/>
    <w:rsid w:val="004C3ACF"/>
    <w:rsid w:val="004C6A18"/>
    <w:rsid w:val="004D087D"/>
    <w:rsid w:val="004D2132"/>
    <w:rsid w:val="004D470E"/>
    <w:rsid w:val="004D65C4"/>
    <w:rsid w:val="004E1415"/>
    <w:rsid w:val="004E2E3A"/>
    <w:rsid w:val="004E3354"/>
    <w:rsid w:val="004F0A08"/>
    <w:rsid w:val="004F14D4"/>
    <w:rsid w:val="004F2BFC"/>
    <w:rsid w:val="004F4082"/>
    <w:rsid w:val="004F5FFE"/>
    <w:rsid w:val="00501171"/>
    <w:rsid w:val="0050189C"/>
    <w:rsid w:val="005033D4"/>
    <w:rsid w:val="0050440A"/>
    <w:rsid w:val="00505992"/>
    <w:rsid w:val="00510229"/>
    <w:rsid w:val="005106A9"/>
    <w:rsid w:val="00510BA4"/>
    <w:rsid w:val="00511910"/>
    <w:rsid w:val="00511FAA"/>
    <w:rsid w:val="00512AAC"/>
    <w:rsid w:val="0051618A"/>
    <w:rsid w:val="00517E9F"/>
    <w:rsid w:val="00520896"/>
    <w:rsid w:val="00521952"/>
    <w:rsid w:val="00522E47"/>
    <w:rsid w:val="0052451C"/>
    <w:rsid w:val="00525084"/>
    <w:rsid w:val="005314CA"/>
    <w:rsid w:val="00537DBD"/>
    <w:rsid w:val="005428B2"/>
    <w:rsid w:val="00543D14"/>
    <w:rsid w:val="00545A22"/>
    <w:rsid w:val="005465C7"/>
    <w:rsid w:val="00551F30"/>
    <w:rsid w:val="00552046"/>
    <w:rsid w:val="00555CB6"/>
    <w:rsid w:val="005577C5"/>
    <w:rsid w:val="0056225C"/>
    <w:rsid w:val="00562F5B"/>
    <w:rsid w:val="0056520C"/>
    <w:rsid w:val="0056625E"/>
    <w:rsid w:val="0056684A"/>
    <w:rsid w:val="0056748D"/>
    <w:rsid w:val="005708D5"/>
    <w:rsid w:val="00570BFD"/>
    <w:rsid w:val="00570EC9"/>
    <w:rsid w:val="005759F4"/>
    <w:rsid w:val="0057619D"/>
    <w:rsid w:val="00576C66"/>
    <w:rsid w:val="0057748C"/>
    <w:rsid w:val="00581153"/>
    <w:rsid w:val="00582877"/>
    <w:rsid w:val="00583149"/>
    <w:rsid w:val="005836B5"/>
    <w:rsid w:val="00585D3C"/>
    <w:rsid w:val="00586A63"/>
    <w:rsid w:val="00592B8C"/>
    <w:rsid w:val="00592CFC"/>
    <w:rsid w:val="00594483"/>
    <w:rsid w:val="005946D0"/>
    <w:rsid w:val="00594D8E"/>
    <w:rsid w:val="005950C1"/>
    <w:rsid w:val="00596243"/>
    <w:rsid w:val="00596B0E"/>
    <w:rsid w:val="0059785B"/>
    <w:rsid w:val="005A2C2C"/>
    <w:rsid w:val="005A2C64"/>
    <w:rsid w:val="005A62FF"/>
    <w:rsid w:val="005A7B2A"/>
    <w:rsid w:val="005B09AB"/>
    <w:rsid w:val="005B0CEB"/>
    <w:rsid w:val="005B108A"/>
    <w:rsid w:val="005B256D"/>
    <w:rsid w:val="005B36F2"/>
    <w:rsid w:val="005B3DBF"/>
    <w:rsid w:val="005B4BF9"/>
    <w:rsid w:val="005B7533"/>
    <w:rsid w:val="005B776C"/>
    <w:rsid w:val="005C1740"/>
    <w:rsid w:val="005C1955"/>
    <w:rsid w:val="005C31D1"/>
    <w:rsid w:val="005C43B0"/>
    <w:rsid w:val="005C43C6"/>
    <w:rsid w:val="005C4F4A"/>
    <w:rsid w:val="005C6510"/>
    <w:rsid w:val="005C7C6D"/>
    <w:rsid w:val="005C7F4F"/>
    <w:rsid w:val="005D0656"/>
    <w:rsid w:val="005D260E"/>
    <w:rsid w:val="005D2A4A"/>
    <w:rsid w:val="005D2B85"/>
    <w:rsid w:val="005D5E75"/>
    <w:rsid w:val="005D6AD5"/>
    <w:rsid w:val="005D793B"/>
    <w:rsid w:val="005E033D"/>
    <w:rsid w:val="005E25CA"/>
    <w:rsid w:val="005E3973"/>
    <w:rsid w:val="005E47B6"/>
    <w:rsid w:val="005F257A"/>
    <w:rsid w:val="005F33D4"/>
    <w:rsid w:val="005F5D0C"/>
    <w:rsid w:val="00600C94"/>
    <w:rsid w:val="00602139"/>
    <w:rsid w:val="00602878"/>
    <w:rsid w:val="00604629"/>
    <w:rsid w:val="0060556B"/>
    <w:rsid w:val="00605888"/>
    <w:rsid w:val="00605C79"/>
    <w:rsid w:val="00606043"/>
    <w:rsid w:val="00607821"/>
    <w:rsid w:val="00610321"/>
    <w:rsid w:val="00610BA1"/>
    <w:rsid w:val="00613547"/>
    <w:rsid w:val="006163B5"/>
    <w:rsid w:val="006235E6"/>
    <w:rsid w:val="0062378B"/>
    <w:rsid w:val="00624840"/>
    <w:rsid w:val="00624943"/>
    <w:rsid w:val="006264F7"/>
    <w:rsid w:val="00632FDC"/>
    <w:rsid w:val="00634D90"/>
    <w:rsid w:val="0063575A"/>
    <w:rsid w:val="006367B5"/>
    <w:rsid w:val="00646D81"/>
    <w:rsid w:val="00652B18"/>
    <w:rsid w:val="00652B2D"/>
    <w:rsid w:val="00652CDB"/>
    <w:rsid w:val="006535CF"/>
    <w:rsid w:val="00663601"/>
    <w:rsid w:val="00666462"/>
    <w:rsid w:val="00667309"/>
    <w:rsid w:val="00675F95"/>
    <w:rsid w:val="00682BD6"/>
    <w:rsid w:val="00684E3D"/>
    <w:rsid w:val="0068539C"/>
    <w:rsid w:val="00685727"/>
    <w:rsid w:val="00686EC3"/>
    <w:rsid w:val="00690FD6"/>
    <w:rsid w:val="006926C0"/>
    <w:rsid w:val="00693E8B"/>
    <w:rsid w:val="00693F12"/>
    <w:rsid w:val="00696EA9"/>
    <w:rsid w:val="00697F61"/>
    <w:rsid w:val="006A0BD6"/>
    <w:rsid w:val="006A1356"/>
    <w:rsid w:val="006A3407"/>
    <w:rsid w:val="006A42E8"/>
    <w:rsid w:val="006A4EA9"/>
    <w:rsid w:val="006A5308"/>
    <w:rsid w:val="006A772F"/>
    <w:rsid w:val="006B3390"/>
    <w:rsid w:val="006B34D4"/>
    <w:rsid w:val="006B42C1"/>
    <w:rsid w:val="006B4F93"/>
    <w:rsid w:val="006B7975"/>
    <w:rsid w:val="006C0463"/>
    <w:rsid w:val="006C12BD"/>
    <w:rsid w:val="006C45C6"/>
    <w:rsid w:val="006C696A"/>
    <w:rsid w:val="006C7FC5"/>
    <w:rsid w:val="006D4E2A"/>
    <w:rsid w:val="006E296B"/>
    <w:rsid w:val="006E46A2"/>
    <w:rsid w:val="006E78E9"/>
    <w:rsid w:val="006F19FF"/>
    <w:rsid w:val="006F31BA"/>
    <w:rsid w:val="006F7129"/>
    <w:rsid w:val="006F7B43"/>
    <w:rsid w:val="007008DD"/>
    <w:rsid w:val="00700E5A"/>
    <w:rsid w:val="007019B4"/>
    <w:rsid w:val="00702569"/>
    <w:rsid w:val="00702D53"/>
    <w:rsid w:val="007033F8"/>
    <w:rsid w:val="00703D50"/>
    <w:rsid w:val="00705FC0"/>
    <w:rsid w:val="00710E00"/>
    <w:rsid w:val="00722D85"/>
    <w:rsid w:val="00723D7E"/>
    <w:rsid w:val="0072585C"/>
    <w:rsid w:val="007324A1"/>
    <w:rsid w:val="00732540"/>
    <w:rsid w:val="00735256"/>
    <w:rsid w:val="007360BA"/>
    <w:rsid w:val="007368F2"/>
    <w:rsid w:val="00736EA8"/>
    <w:rsid w:val="00737FAC"/>
    <w:rsid w:val="00740F56"/>
    <w:rsid w:val="00741B4B"/>
    <w:rsid w:val="00745184"/>
    <w:rsid w:val="007461C3"/>
    <w:rsid w:val="00746DDA"/>
    <w:rsid w:val="00746DEC"/>
    <w:rsid w:val="00747E03"/>
    <w:rsid w:val="007536CB"/>
    <w:rsid w:val="00756B59"/>
    <w:rsid w:val="00760F15"/>
    <w:rsid w:val="00761068"/>
    <w:rsid w:val="00761B40"/>
    <w:rsid w:val="00765C5F"/>
    <w:rsid w:val="0076626A"/>
    <w:rsid w:val="007676A8"/>
    <w:rsid w:val="0076790F"/>
    <w:rsid w:val="0077140F"/>
    <w:rsid w:val="0077313D"/>
    <w:rsid w:val="00774B3D"/>
    <w:rsid w:val="0077510A"/>
    <w:rsid w:val="0078008E"/>
    <w:rsid w:val="00782300"/>
    <w:rsid w:val="007841CD"/>
    <w:rsid w:val="007841E2"/>
    <w:rsid w:val="00785914"/>
    <w:rsid w:val="0079138B"/>
    <w:rsid w:val="0079224B"/>
    <w:rsid w:val="00792868"/>
    <w:rsid w:val="00794399"/>
    <w:rsid w:val="00795D5A"/>
    <w:rsid w:val="007963C3"/>
    <w:rsid w:val="007A0ABB"/>
    <w:rsid w:val="007A0F72"/>
    <w:rsid w:val="007A1338"/>
    <w:rsid w:val="007A32DE"/>
    <w:rsid w:val="007A38AC"/>
    <w:rsid w:val="007A6BF8"/>
    <w:rsid w:val="007A73C0"/>
    <w:rsid w:val="007B25DA"/>
    <w:rsid w:val="007B5D9E"/>
    <w:rsid w:val="007C1408"/>
    <w:rsid w:val="007C282B"/>
    <w:rsid w:val="007C32FA"/>
    <w:rsid w:val="007D061A"/>
    <w:rsid w:val="007D0ED9"/>
    <w:rsid w:val="007D1564"/>
    <w:rsid w:val="007D186C"/>
    <w:rsid w:val="007D191B"/>
    <w:rsid w:val="007D3A3E"/>
    <w:rsid w:val="007D3ACC"/>
    <w:rsid w:val="007D42B2"/>
    <w:rsid w:val="007D6A9A"/>
    <w:rsid w:val="007E15E4"/>
    <w:rsid w:val="007E20A9"/>
    <w:rsid w:val="007E2119"/>
    <w:rsid w:val="007E44A3"/>
    <w:rsid w:val="007E5140"/>
    <w:rsid w:val="007E55C2"/>
    <w:rsid w:val="007E569E"/>
    <w:rsid w:val="007E636B"/>
    <w:rsid w:val="007E67A7"/>
    <w:rsid w:val="007E6E8D"/>
    <w:rsid w:val="007F0BC3"/>
    <w:rsid w:val="007F3771"/>
    <w:rsid w:val="007F479E"/>
    <w:rsid w:val="007F4A8D"/>
    <w:rsid w:val="008039D5"/>
    <w:rsid w:val="00803B94"/>
    <w:rsid w:val="00805331"/>
    <w:rsid w:val="008108C0"/>
    <w:rsid w:val="00812775"/>
    <w:rsid w:val="00812F95"/>
    <w:rsid w:val="0081391A"/>
    <w:rsid w:val="00815361"/>
    <w:rsid w:val="00815E3A"/>
    <w:rsid w:val="0082032A"/>
    <w:rsid w:val="008256B7"/>
    <w:rsid w:val="008264C5"/>
    <w:rsid w:val="0082704D"/>
    <w:rsid w:val="00827670"/>
    <w:rsid w:val="008327D5"/>
    <w:rsid w:val="0084018D"/>
    <w:rsid w:val="00841B42"/>
    <w:rsid w:val="008430CA"/>
    <w:rsid w:val="00843489"/>
    <w:rsid w:val="0084380A"/>
    <w:rsid w:val="008439B8"/>
    <w:rsid w:val="00844AD1"/>
    <w:rsid w:val="00846962"/>
    <w:rsid w:val="00846AA9"/>
    <w:rsid w:val="008532BB"/>
    <w:rsid w:val="00853BDE"/>
    <w:rsid w:val="00854025"/>
    <w:rsid w:val="00855F84"/>
    <w:rsid w:val="008628D7"/>
    <w:rsid w:val="008629D5"/>
    <w:rsid w:val="0086319D"/>
    <w:rsid w:val="00865234"/>
    <w:rsid w:val="00865957"/>
    <w:rsid w:val="0087121B"/>
    <w:rsid w:val="00873947"/>
    <w:rsid w:val="00874048"/>
    <w:rsid w:val="008763AF"/>
    <w:rsid w:val="00880F3A"/>
    <w:rsid w:val="00887E9C"/>
    <w:rsid w:val="00891F02"/>
    <w:rsid w:val="008944A6"/>
    <w:rsid w:val="00897244"/>
    <w:rsid w:val="00897A18"/>
    <w:rsid w:val="008A021A"/>
    <w:rsid w:val="008A1B3C"/>
    <w:rsid w:val="008A2BBF"/>
    <w:rsid w:val="008A33C1"/>
    <w:rsid w:val="008A4970"/>
    <w:rsid w:val="008A4FA0"/>
    <w:rsid w:val="008B05E2"/>
    <w:rsid w:val="008B065D"/>
    <w:rsid w:val="008B2C87"/>
    <w:rsid w:val="008B3D1E"/>
    <w:rsid w:val="008C075D"/>
    <w:rsid w:val="008C1414"/>
    <w:rsid w:val="008C2504"/>
    <w:rsid w:val="008C31B0"/>
    <w:rsid w:val="008C37C2"/>
    <w:rsid w:val="008C3C7F"/>
    <w:rsid w:val="008C4CE6"/>
    <w:rsid w:val="008C5345"/>
    <w:rsid w:val="008C62F4"/>
    <w:rsid w:val="008D1D42"/>
    <w:rsid w:val="008D2421"/>
    <w:rsid w:val="008D58DD"/>
    <w:rsid w:val="008D7F82"/>
    <w:rsid w:val="008E0F12"/>
    <w:rsid w:val="008E1141"/>
    <w:rsid w:val="008E3C3E"/>
    <w:rsid w:val="008E4098"/>
    <w:rsid w:val="008F1E7E"/>
    <w:rsid w:val="008F2015"/>
    <w:rsid w:val="008F4335"/>
    <w:rsid w:val="008F753C"/>
    <w:rsid w:val="008F7EE2"/>
    <w:rsid w:val="00903CE0"/>
    <w:rsid w:val="00907305"/>
    <w:rsid w:val="009101C6"/>
    <w:rsid w:val="00911250"/>
    <w:rsid w:val="009117EA"/>
    <w:rsid w:val="00911A1F"/>
    <w:rsid w:val="0091387E"/>
    <w:rsid w:val="00915CFF"/>
    <w:rsid w:val="00916405"/>
    <w:rsid w:val="00917337"/>
    <w:rsid w:val="009174F3"/>
    <w:rsid w:val="00917F7F"/>
    <w:rsid w:val="009234B4"/>
    <w:rsid w:val="0092373E"/>
    <w:rsid w:val="00925F72"/>
    <w:rsid w:val="009274D7"/>
    <w:rsid w:val="00935565"/>
    <w:rsid w:val="00936A6D"/>
    <w:rsid w:val="00936F27"/>
    <w:rsid w:val="0094165A"/>
    <w:rsid w:val="009418AA"/>
    <w:rsid w:val="00941CAF"/>
    <w:rsid w:val="0094309F"/>
    <w:rsid w:val="00943E2A"/>
    <w:rsid w:val="00944754"/>
    <w:rsid w:val="00944D72"/>
    <w:rsid w:val="00945FA5"/>
    <w:rsid w:val="009476B6"/>
    <w:rsid w:val="009479B7"/>
    <w:rsid w:val="00951E47"/>
    <w:rsid w:val="00955F77"/>
    <w:rsid w:val="0095642B"/>
    <w:rsid w:val="00957927"/>
    <w:rsid w:val="0096044F"/>
    <w:rsid w:val="00961182"/>
    <w:rsid w:val="00962B55"/>
    <w:rsid w:val="00965C68"/>
    <w:rsid w:val="00967F71"/>
    <w:rsid w:val="009745E6"/>
    <w:rsid w:val="00974C37"/>
    <w:rsid w:val="00980A18"/>
    <w:rsid w:val="00985664"/>
    <w:rsid w:val="00986A41"/>
    <w:rsid w:val="0098741F"/>
    <w:rsid w:val="00992233"/>
    <w:rsid w:val="0099345A"/>
    <w:rsid w:val="009947A1"/>
    <w:rsid w:val="009963BB"/>
    <w:rsid w:val="009A228A"/>
    <w:rsid w:val="009A4169"/>
    <w:rsid w:val="009B2922"/>
    <w:rsid w:val="009B2A19"/>
    <w:rsid w:val="009B524A"/>
    <w:rsid w:val="009B752A"/>
    <w:rsid w:val="009C1C6A"/>
    <w:rsid w:val="009C20CE"/>
    <w:rsid w:val="009C2546"/>
    <w:rsid w:val="009C2B47"/>
    <w:rsid w:val="009C4590"/>
    <w:rsid w:val="009C49DA"/>
    <w:rsid w:val="009C643F"/>
    <w:rsid w:val="009C72BD"/>
    <w:rsid w:val="009C75BA"/>
    <w:rsid w:val="009D0922"/>
    <w:rsid w:val="009D3EF7"/>
    <w:rsid w:val="009D4B93"/>
    <w:rsid w:val="009D4E50"/>
    <w:rsid w:val="009D69C5"/>
    <w:rsid w:val="009D7315"/>
    <w:rsid w:val="009D7A2C"/>
    <w:rsid w:val="009E0D06"/>
    <w:rsid w:val="009E36F2"/>
    <w:rsid w:val="009E6A43"/>
    <w:rsid w:val="009F015D"/>
    <w:rsid w:val="009F451E"/>
    <w:rsid w:val="009F4AF4"/>
    <w:rsid w:val="009F4BCD"/>
    <w:rsid w:val="009F66BB"/>
    <w:rsid w:val="009F6D90"/>
    <w:rsid w:val="009F72FA"/>
    <w:rsid w:val="009F7E7F"/>
    <w:rsid w:val="00A000CC"/>
    <w:rsid w:val="00A00EA2"/>
    <w:rsid w:val="00A0104F"/>
    <w:rsid w:val="00A03ACF"/>
    <w:rsid w:val="00A04F9B"/>
    <w:rsid w:val="00A058BA"/>
    <w:rsid w:val="00A06089"/>
    <w:rsid w:val="00A11ACC"/>
    <w:rsid w:val="00A12114"/>
    <w:rsid w:val="00A14D40"/>
    <w:rsid w:val="00A15A47"/>
    <w:rsid w:val="00A17F46"/>
    <w:rsid w:val="00A234C8"/>
    <w:rsid w:val="00A24172"/>
    <w:rsid w:val="00A26F0F"/>
    <w:rsid w:val="00A30DAD"/>
    <w:rsid w:val="00A316C2"/>
    <w:rsid w:val="00A3181E"/>
    <w:rsid w:val="00A31DD6"/>
    <w:rsid w:val="00A31EF2"/>
    <w:rsid w:val="00A33F3C"/>
    <w:rsid w:val="00A34C6B"/>
    <w:rsid w:val="00A46D1C"/>
    <w:rsid w:val="00A476F8"/>
    <w:rsid w:val="00A50BDF"/>
    <w:rsid w:val="00A53863"/>
    <w:rsid w:val="00A55269"/>
    <w:rsid w:val="00A55437"/>
    <w:rsid w:val="00A600EB"/>
    <w:rsid w:val="00A60602"/>
    <w:rsid w:val="00A606F0"/>
    <w:rsid w:val="00A70770"/>
    <w:rsid w:val="00A7090C"/>
    <w:rsid w:val="00A72699"/>
    <w:rsid w:val="00A7504D"/>
    <w:rsid w:val="00A756F7"/>
    <w:rsid w:val="00A77F14"/>
    <w:rsid w:val="00A803E6"/>
    <w:rsid w:val="00A84FE2"/>
    <w:rsid w:val="00A87706"/>
    <w:rsid w:val="00A94AD9"/>
    <w:rsid w:val="00A974DA"/>
    <w:rsid w:val="00A97721"/>
    <w:rsid w:val="00AA1498"/>
    <w:rsid w:val="00AA2E20"/>
    <w:rsid w:val="00AA3A74"/>
    <w:rsid w:val="00AA4208"/>
    <w:rsid w:val="00AA48CF"/>
    <w:rsid w:val="00AA68D5"/>
    <w:rsid w:val="00AA7410"/>
    <w:rsid w:val="00AA7D96"/>
    <w:rsid w:val="00AA7DCA"/>
    <w:rsid w:val="00AA7F12"/>
    <w:rsid w:val="00AB4E53"/>
    <w:rsid w:val="00AB6A98"/>
    <w:rsid w:val="00AB6C0A"/>
    <w:rsid w:val="00AC1CB9"/>
    <w:rsid w:val="00AC2489"/>
    <w:rsid w:val="00AC4C94"/>
    <w:rsid w:val="00AC5B8E"/>
    <w:rsid w:val="00AC71FB"/>
    <w:rsid w:val="00AD0273"/>
    <w:rsid w:val="00AD0BEF"/>
    <w:rsid w:val="00AD0DF4"/>
    <w:rsid w:val="00AD1CAB"/>
    <w:rsid w:val="00AD2442"/>
    <w:rsid w:val="00AD43C9"/>
    <w:rsid w:val="00AD51FC"/>
    <w:rsid w:val="00AD6450"/>
    <w:rsid w:val="00AD68F6"/>
    <w:rsid w:val="00AD6923"/>
    <w:rsid w:val="00AE0D12"/>
    <w:rsid w:val="00AE2D1F"/>
    <w:rsid w:val="00AE33A3"/>
    <w:rsid w:val="00AE5058"/>
    <w:rsid w:val="00AE53C6"/>
    <w:rsid w:val="00AE5DD5"/>
    <w:rsid w:val="00AE68B3"/>
    <w:rsid w:val="00AF1448"/>
    <w:rsid w:val="00AF1AD9"/>
    <w:rsid w:val="00AF1D78"/>
    <w:rsid w:val="00AF2720"/>
    <w:rsid w:val="00AF36AD"/>
    <w:rsid w:val="00AF54DC"/>
    <w:rsid w:val="00AF7132"/>
    <w:rsid w:val="00B004D7"/>
    <w:rsid w:val="00B02C09"/>
    <w:rsid w:val="00B04F96"/>
    <w:rsid w:val="00B05656"/>
    <w:rsid w:val="00B0604F"/>
    <w:rsid w:val="00B10708"/>
    <w:rsid w:val="00B10BB8"/>
    <w:rsid w:val="00B11B56"/>
    <w:rsid w:val="00B15343"/>
    <w:rsid w:val="00B1642E"/>
    <w:rsid w:val="00B172C2"/>
    <w:rsid w:val="00B22CC4"/>
    <w:rsid w:val="00B246FC"/>
    <w:rsid w:val="00B247B8"/>
    <w:rsid w:val="00B24C08"/>
    <w:rsid w:val="00B27284"/>
    <w:rsid w:val="00B3045B"/>
    <w:rsid w:val="00B328F4"/>
    <w:rsid w:val="00B32D20"/>
    <w:rsid w:val="00B33D8C"/>
    <w:rsid w:val="00B374B5"/>
    <w:rsid w:val="00B42003"/>
    <w:rsid w:val="00B432CC"/>
    <w:rsid w:val="00B434E8"/>
    <w:rsid w:val="00B4567C"/>
    <w:rsid w:val="00B53BA3"/>
    <w:rsid w:val="00B540DB"/>
    <w:rsid w:val="00B60F4C"/>
    <w:rsid w:val="00B60F8F"/>
    <w:rsid w:val="00B6507E"/>
    <w:rsid w:val="00B720AD"/>
    <w:rsid w:val="00B7567A"/>
    <w:rsid w:val="00B7675E"/>
    <w:rsid w:val="00B81ECD"/>
    <w:rsid w:val="00B83814"/>
    <w:rsid w:val="00B83E5B"/>
    <w:rsid w:val="00B83F25"/>
    <w:rsid w:val="00B8491C"/>
    <w:rsid w:val="00B86B16"/>
    <w:rsid w:val="00B86E81"/>
    <w:rsid w:val="00B91CA0"/>
    <w:rsid w:val="00B92CD2"/>
    <w:rsid w:val="00B93C2D"/>
    <w:rsid w:val="00BA310E"/>
    <w:rsid w:val="00BA64EA"/>
    <w:rsid w:val="00BA6E9C"/>
    <w:rsid w:val="00BB0027"/>
    <w:rsid w:val="00BB17C8"/>
    <w:rsid w:val="00BB2B9A"/>
    <w:rsid w:val="00BB36BA"/>
    <w:rsid w:val="00BB56D3"/>
    <w:rsid w:val="00BB69B2"/>
    <w:rsid w:val="00BC0AEB"/>
    <w:rsid w:val="00BC27E6"/>
    <w:rsid w:val="00BC4723"/>
    <w:rsid w:val="00BC6365"/>
    <w:rsid w:val="00BD133A"/>
    <w:rsid w:val="00BD4188"/>
    <w:rsid w:val="00BD500B"/>
    <w:rsid w:val="00BD5265"/>
    <w:rsid w:val="00BD77B9"/>
    <w:rsid w:val="00BE08D8"/>
    <w:rsid w:val="00BE314B"/>
    <w:rsid w:val="00BE3D9F"/>
    <w:rsid w:val="00BE66BB"/>
    <w:rsid w:val="00BE7731"/>
    <w:rsid w:val="00BE79EA"/>
    <w:rsid w:val="00BE7F12"/>
    <w:rsid w:val="00BF0625"/>
    <w:rsid w:val="00BF0947"/>
    <w:rsid w:val="00BF0B5D"/>
    <w:rsid w:val="00BF4C32"/>
    <w:rsid w:val="00BF7AE2"/>
    <w:rsid w:val="00C00AD9"/>
    <w:rsid w:val="00C011B4"/>
    <w:rsid w:val="00C05740"/>
    <w:rsid w:val="00C06D8D"/>
    <w:rsid w:val="00C1143C"/>
    <w:rsid w:val="00C11BA9"/>
    <w:rsid w:val="00C13CE7"/>
    <w:rsid w:val="00C17E17"/>
    <w:rsid w:val="00C22E68"/>
    <w:rsid w:val="00C237FD"/>
    <w:rsid w:val="00C26054"/>
    <w:rsid w:val="00C2614E"/>
    <w:rsid w:val="00C30C5C"/>
    <w:rsid w:val="00C3112B"/>
    <w:rsid w:val="00C311D5"/>
    <w:rsid w:val="00C315BA"/>
    <w:rsid w:val="00C31FA1"/>
    <w:rsid w:val="00C34592"/>
    <w:rsid w:val="00C348C2"/>
    <w:rsid w:val="00C35594"/>
    <w:rsid w:val="00C37315"/>
    <w:rsid w:val="00C377E5"/>
    <w:rsid w:val="00C3792B"/>
    <w:rsid w:val="00C40714"/>
    <w:rsid w:val="00C411B6"/>
    <w:rsid w:val="00C4420C"/>
    <w:rsid w:val="00C4435B"/>
    <w:rsid w:val="00C446BC"/>
    <w:rsid w:val="00C530CF"/>
    <w:rsid w:val="00C53277"/>
    <w:rsid w:val="00C548C7"/>
    <w:rsid w:val="00C54DE5"/>
    <w:rsid w:val="00C563AB"/>
    <w:rsid w:val="00C57B6B"/>
    <w:rsid w:val="00C60353"/>
    <w:rsid w:val="00C616CA"/>
    <w:rsid w:val="00C62905"/>
    <w:rsid w:val="00C62A5E"/>
    <w:rsid w:val="00C668F2"/>
    <w:rsid w:val="00C67EA3"/>
    <w:rsid w:val="00C704F4"/>
    <w:rsid w:val="00C7068D"/>
    <w:rsid w:val="00C719E3"/>
    <w:rsid w:val="00C7349B"/>
    <w:rsid w:val="00C75650"/>
    <w:rsid w:val="00C8002C"/>
    <w:rsid w:val="00C80776"/>
    <w:rsid w:val="00C83307"/>
    <w:rsid w:val="00C846B5"/>
    <w:rsid w:val="00C84F03"/>
    <w:rsid w:val="00C9031C"/>
    <w:rsid w:val="00C9123D"/>
    <w:rsid w:val="00C917C8"/>
    <w:rsid w:val="00C924A5"/>
    <w:rsid w:val="00C936DF"/>
    <w:rsid w:val="00C94E30"/>
    <w:rsid w:val="00CA059E"/>
    <w:rsid w:val="00CA1EE7"/>
    <w:rsid w:val="00CA3501"/>
    <w:rsid w:val="00CA5EEF"/>
    <w:rsid w:val="00CA60CC"/>
    <w:rsid w:val="00CB3862"/>
    <w:rsid w:val="00CB58C0"/>
    <w:rsid w:val="00CB79FF"/>
    <w:rsid w:val="00CB7B00"/>
    <w:rsid w:val="00CB7E59"/>
    <w:rsid w:val="00CC03D4"/>
    <w:rsid w:val="00CC45CD"/>
    <w:rsid w:val="00CC651D"/>
    <w:rsid w:val="00CD4189"/>
    <w:rsid w:val="00CD4CFF"/>
    <w:rsid w:val="00CD5466"/>
    <w:rsid w:val="00CD7BD2"/>
    <w:rsid w:val="00CE0316"/>
    <w:rsid w:val="00CE0C90"/>
    <w:rsid w:val="00CE6725"/>
    <w:rsid w:val="00CE6D24"/>
    <w:rsid w:val="00CF21BC"/>
    <w:rsid w:val="00CF2826"/>
    <w:rsid w:val="00CF30A9"/>
    <w:rsid w:val="00CF38B1"/>
    <w:rsid w:val="00CF3D6A"/>
    <w:rsid w:val="00CF47C1"/>
    <w:rsid w:val="00CF5F98"/>
    <w:rsid w:val="00CF761F"/>
    <w:rsid w:val="00D00A12"/>
    <w:rsid w:val="00D02111"/>
    <w:rsid w:val="00D0432E"/>
    <w:rsid w:val="00D069E9"/>
    <w:rsid w:val="00D06A99"/>
    <w:rsid w:val="00D07683"/>
    <w:rsid w:val="00D11AA2"/>
    <w:rsid w:val="00D168AF"/>
    <w:rsid w:val="00D22554"/>
    <w:rsid w:val="00D230A7"/>
    <w:rsid w:val="00D23976"/>
    <w:rsid w:val="00D23999"/>
    <w:rsid w:val="00D23C53"/>
    <w:rsid w:val="00D2476D"/>
    <w:rsid w:val="00D25328"/>
    <w:rsid w:val="00D25C55"/>
    <w:rsid w:val="00D27847"/>
    <w:rsid w:val="00D31487"/>
    <w:rsid w:val="00D35AEA"/>
    <w:rsid w:val="00D37BD0"/>
    <w:rsid w:val="00D41065"/>
    <w:rsid w:val="00D411E1"/>
    <w:rsid w:val="00D42DC7"/>
    <w:rsid w:val="00D439A3"/>
    <w:rsid w:val="00D450AA"/>
    <w:rsid w:val="00D45799"/>
    <w:rsid w:val="00D513AE"/>
    <w:rsid w:val="00D52A85"/>
    <w:rsid w:val="00D539A4"/>
    <w:rsid w:val="00D55854"/>
    <w:rsid w:val="00D56690"/>
    <w:rsid w:val="00D71E88"/>
    <w:rsid w:val="00D72714"/>
    <w:rsid w:val="00D7303F"/>
    <w:rsid w:val="00D757E6"/>
    <w:rsid w:val="00D810D9"/>
    <w:rsid w:val="00D84AA2"/>
    <w:rsid w:val="00D84C0E"/>
    <w:rsid w:val="00D84E18"/>
    <w:rsid w:val="00D90A04"/>
    <w:rsid w:val="00D91F5A"/>
    <w:rsid w:val="00D928AD"/>
    <w:rsid w:val="00D95900"/>
    <w:rsid w:val="00D97317"/>
    <w:rsid w:val="00DA10BF"/>
    <w:rsid w:val="00DA16C3"/>
    <w:rsid w:val="00DA2CF2"/>
    <w:rsid w:val="00DA4184"/>
    <w:rsid w:val="00DA583A"/>
    <w:rsid w:val="00DA6AB3"/>
    <w:rsid w:val="00DB0969"/>
    <w:rsid w:val="00DB31F3"/>
    <w:rsid w:val="00DB50F9"/>
    <w:rsid w:val="00DB5418"/>
    <w:rsid w:val="00DB6859"/>
    <w:rsid w:val="00DB748C"/>
    <w:rsid w:val="00DC12CF"/>
    <w:rsid w:val="00DC2541"/>
    <w:rsid w:val="00DC4EB9"/>
    <w:rsid w:val="00DC5D12"/>
    <w:rsid w:val="00DD06DE"/>
    <w:rsid w:val="00DD168F"/>
    <w:rsid w:val="00DD23DA"/>
    <w:rsid w:val="00DD550A"/>
    <w:rsid w:val="00DD5679"/>
    <w:rsid w:val="00DD5D7C"/>
    <w:rsid w:val="00DD6247"/>
    <w:rsid w:val="00DE2291"/>
    <w:rsid w:val="00DE272E"/>
    <w:rsid w:val="00DE4B7E"/>
    <w:rsid w:val="00DE4CBF"/>
    <w:rsid w:val="00DE548B"/>
    <w:rsid w:val="00DE6A18"/>
    <w:rsid w:val="00DF341C"/>
    <w:rsid w:val="00DF3C72"/>
    <w:rsid w:val="00DF5DC8"/>
    <w:rsid w:val="00DF7AF0"/>
    <w:rsid w:val="00E0105F"/>
    <w:rsid w:val="00E02091"/>
    <w:rsid w:val="00E02221"/>
    <w:rsid w:val="00E02E4A"/>
    <w:rsid w:val="00E0440E"/>
    <w:rsid w:val="00E04FF1"/>
    <w:rsid w:val="00E05D7F"/>
    <w:rsid w:val="00E05EFA"/>
    <w:rsid w:val="00E130A1"/>
    <w:rsid w:val="00E16632"/>
    <w:rsid w:val="00E1739B"/>
    <w:rsid w:val="00E176EE"/>
    <w:rsid w:val="00E178E4"/>
    <w:rsid w:val="00E200A7"/>
    <w:rsid w:val="00E20205"/>
    <w:rsid w:val="00E215D0"/>
    <w:rsid w:val="00E22647"/>
    <w:rsid w:val="00E22CE1"/>
    <w:rsid w:val="00E23809"/>
    <w:rsid w:val="00E3074A"/>
    <w:rsid w:val="00E30B4D"/>
    <w:rsid w:val="00E425CE"/>
    <w:rsid w:val="00E4306A"/>
    <w:rsid w:val="00E43E69"/>
    <w:rsid w:val="00E46214"/>
    <w:rsid w:val="00E470D3"/>
    <w:rsid w:val="00E546E9"/>
    <w:rsid w:val="00E55DF8"/>
    <w:rsid w:val="00E61907"/>
    <w:rsid w:val="00E621BE"/>
    <w:rsid w:val="00E63495"/>
    <w:rsid w:val="00E63805"/>
    <w:rsid w:val="00E67632"/>
    <w:rsid w:val="00E67754"/>
    <w:rsid w:val="00E70DA1"/>
    <w:rsid w:val="00E74C21"/>
    <w:rsid w:val="00E751B3"/>
    <w:rsid w:val="00E7584E"/>
    <w:rsid w:val="00E775D2"/>
    <w:rsid w:val="00E816CB"/>
    <w:rsid w:val="00E82DA3"/>
    <w:rsid w:val="00E83D12"/>
    <w:rsid w:val="00E84467"/>
    <w:rsid w:val="00E84824"/>
    <w:rsid w:val="00E85175"/>
    <w:rsid w:val="00E9207A"/>
    <w:rsid w:val="00E92678"/>
    <w:rsid w:val="00E9274A"/>
    <w:rsid w:val="00E92EAC"/>
    <w:rsid w:val="00E94F98"/>
    <w:rsid w:val="00E97864"/>
    <w:rsid w:val="00EA01D0"/>
    <w:rsid w:val="00EA4388"/>
    <w:rsid w:val="00EA7893"/>
    <w:rsid w:val="00EB0428"/>
    <w:rsid w:val="00EB232A"/>
    <w:rsid w:val="00EB2F17"/>
    <w:rsid w:val="00EB7580"/>
    <w:rsid w:val="00EC02E7"/>
    <w:rsid w:val="00EC064E"/>
    <w:rsid w:val="00EC32C8"/>
    <w:rsid w:val="00EC5FEB"/>
    <w:rsid w:val="00EC7E5F"/>
    <w:rsid w:val="00ED0476"/>
    <w:rsid w:val="00ED0E0C"/>
    <w:rsid w:val="00ED45AF"/>
    <w:rsid w:val="00ED5806"/>
    <w:rsid w:val="00ED76D1"/>
    <w:rsid w:val="00ED7A6F"/>
    <w:rsid w:val="00EE479B"/>
    <w:rsid w:val="00EE4F53"/>
    <w:rsid w:val="00EE53EB"/>
    <w:rsid w:val="00EE7714"/>
    <w:rsid w:val="00EE7A6D"/>
    <w:rsid w:val="00EE7BA2"/>
    <w:rsid w:val="00EF2DE7"/>
    <w:rsid w:val="00EF367E"/>
    <w:rsid w:val="00EF4201"/>
    <w:rsid w:val="00F00E9C"/>
    <w:rsid w:val="00F02191"/>
    <w:rsid w:val="00F03468"/>
    <w:rsid w:val="00F078CD"/>
    <w:rsid w:val="00F11944"/>
    <w:rsid w:val="00F13DD5"/>
    <w:rsid w:val="00F1671C"/>
    <w:rsid w:val="00F169E6"/>
    <w:rsid w:val="00F172BC"/>
    <w:rsid w:val="00F218E8"/>
    <w:rsid w:val="00F21947"/>
    <w:rsid w:val="00F25CDA"/>
    <w:rsid w:val="00F26C9B"/>
    <w:rsid w:val="00F270B1"/>
    <w:rsid w:val="00F31BF2"/>
    <w:rsid w:val="00F3271D"/>
    <w:rsid w:val="00F40BD8"/>
    <w:rsid w:val="00F42600"/>
    <w:rsid w:val="00F42985"/>
    <w:rsid w:val="00F441FE"/>
    <w:rsid w:val="00F46479"/>
    <w:rsid w:val="00F46567"/>
    <w:rsid w:val="00F51F07"/>
    <w:rsid w:val="00F52D9C"/>
    <w:rsid w:val="00F53C78"/>
    <w:rsid w:val="00F542B8"/>
    <w:rsid w:val="00F55C78"/>
    <w:rsid w:val="00F60D77"/>
    <w:rsid w:val="00F61B0E"/>
    <w:rsid w:val="00F638D2"/>
    <w:rsid w:val="00F64844"/>
    <w:rsid w:val="00F661F3"/>
    <w:rsid w:val="00F67DC8"/>
    <w:rsid w:val="00F72F2F"/>
    <w:rsid w:val="00F7353C"/>
    <w:rsid w:val="00F825A0"/>
    <w:rsid w:val="00F83A16"/>
    <w:rsid w:val="00F85865"/>
    <w:rsid w:val="00F85A7A"/>
    <w:rsid w:val="00F874B2"/>
    <w:rsid w:val="00F87D98"/>
    <w:rsid w:val="00F92AA8"/>
    <w:rsid w:val="00F93FAD"/>
    <w:rsid w:val="00FA7672"/>
    <w:rsid w:val="00FB1E01"/>
    <w:rsid w:val="00FB255C"/>
    <w:rsid w:val="00FB2F54"/>
    <w:rsid w:val="00FB49DB"/>
    <w:rsid w:val="00FB5030"/>
    <w:rsid w:val="00FB5A17"/>
    <w:rsid w:val="00FB65C3"/>
    <w:rsid w:val="00FB6798"/>
    <w:rsid w:val="00FC0659"/>
    <w:rsid w:val="00FC1949"/>
    <w:rsid w:val="00FC21F3"/>
    <w:rsid w:val="00FD158A"/>
    <w:rsid w:val="00FD282E"/>
    <w:rsid w:val="00FE55CF"/>
    <w:rsid w:val="00FE76C9"/>
    <w:rsid w:val="00FF0BC2"/>
    <w:rsid w:val="00FF1BC9"/>
    <w:rsid w:val="00FF3278"/>
    <w:rsid w:val="00FF3C8A"/>
    <w:rsid w:val="00FF4563"/>
    <w:rsid w:val="00FF6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7E6"/>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C5B8E"/>
    <w:rPr>
      <w:color w:val="0000FF"/>
      <w:u w:val="single"/>
    </w:rPr>
  </w:style>
  <w:style w:type="table" w:styleId="Tablaconcuadrcula">
    <w:name w:val="Table Grid"/>
    <w:basedOn w:val="Tablanormal"/>
    <w:rsid w:val="00AF3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53BA3"/>
    <w:pPr>
      <w:spacing w:after="200" w:line="276" w:lineRule="auto"/>
      <w:ind w:left="720"/>
      <w:contextualSpacing/>
    </w:pPr>
    <w:rPr>
      <w:rFonts w:ascii="Calibri" w:hAnsi="Calibri"/>
      <w:sz w:val="22"/>
      <w:szCs w:val="22"/>
      <w:lang w:eastAsia="en-US"/>
    </w:rPr>
  </w:style>
  <w:style w:type="paragraph" w:styleId="z-Finaldelformulario">
    <w:name w:val="HTML Bottom of Form"/>
    <w:basedOn w:val="Normal"/>
    <w:next w:val="Normal"/>
    <w:hidden/>
    <w:rsid w:val="00EE7714"/>
    <w:pPr>
      <w:pBdr>
        <w:top w:val="single" w:sz="6" w:space="1" w:color="auto"/>
      </w:pBdr>
      <w:jc w:val="center"/>
    </w:pPr>
    <w:rPr>
      <w:rFonts w:ascii="Arial" w:hAnsi="Arial" w:cs="Arial"/>
      <w:vanish/>
      <w:color w:val="000000"/>
      <w:sz w:val="16"/>
      <w:szCs w:val="16"/>
      <w:lang w:val="es-ES" w:eastAsia="ko-KR"/>
    </w:rPr>
  </w:style>
  <w:style w:type="paragraph" w:styleId="Textoindependiente2">
    <w:name w:val="Body Text 2"/>
    <w:basedOn w:val="Normal"/>
    <w:link w:val="Textoindependiente2Car"/>
    <w:rsid w:val="00EE7714"/>
    <w:pPr>
      <w:jc w:val="both"/>
    </w:pPr>
    <w:rPr>
      <w:rFonts w:ascii="Bookman Old Style" w:hAnsi="Bookman Old Style" w:cs="Arial"/>
      <w:szCs w:val="18"/>
      <w:lang w:val="es-ES_tradnl"/>
    </w:rPr>
  </w:style>
  <w:style w:type="character" w:customStyle="1" w:styleId="Textoindependiente2Car">
    <w:name w:val="Texto independiente 2 Car"/>
    <w:basedOn w:val="Fuentedeprrafopredeter"/>
    <w:link w:val="Textoindependiente2"/>
    <w:rsid w:val="00236D89"/>
    <w:rPr>
      <w:rFonts w:ascii="Bookman Old Style" w:hAnsi="Bookman Old Style" w:cs="Arial"/>
      <w:sz w:val="24"/>
      <w:szCs w:val="18"/>
      <w:lang w:val="es-ES_tradnl" w:eastAsia="es-ES"/>
    </w:rPr>
  </w:style>
  <w:style w:type="paragraph" w:styleId="Encabezado">
    <w:name w:val="header"/>
    <w:basedOn w:val="Normal"/>
    <w:link w:val="EncabezadoCar"/>
    <w:rsid w:val="00537DBD"/>
    <w:pPr>
      <w:tabs>
        <w:tab w:val="center" w:pos="4419"/>
        <w:tab w:val="right" w:pos="8838"/>
      </w:tabs>
    </w:pPr>
  </w:style>
  <w:style w:type="character" w:customStyle="1" w:styleId="EncabezadoCar">
    <w:name w:val="Encabezado Car"/>
    <w:basedOn w:val="Fuentedeprrafopredeter"/>
    <w:link w:val="Encabezado"/>
    <w:rsid w:val="00537DBD"/>
    <w:rPr>
      <w:sz w:val="24"/>
      <w:szCs w:val="24"/>
      <w:lang w:eastAsia="es-ES"/>
    </w:rPr>
  </w:style>
  <w:style w:type="paragraph" w:styleId="Piedepgina">
    <w:name w:val="footer"/>
    <w:basedOn w:val="Normal"/>
    <w:link w:val="PiedepginaCar"/>
    <w:uiPriority w:val="99"/>
    <w:rsid w:val="00537DBD"/>
    <w:pPr>
      <w:tabs>
        <w:tab w:val="center" w:pos="4419"/>
        <w:tab w:val="right" w:pos="8838"/>
      </w:tabs>
    </w:pPr>
  </w:style>
  <w:style w:type="character" w:customStyle="1" w:styleId="PiedepginaCar">
    <w:name w:val="Pie de página Car"/>
    <w:basedOn w:val="Fuentedeprrafopredeter"/>
    <w:link w:val="Piedepgina"/>
    <w:uiPriority w:val="99"/>
    <w:rsid w:val="00537DBD"/>
    <w:rPr>
      <w:sz w:val="24"/>
      <w:szCs w:val="24"/>
      <w:lang w:eastAsia="es-ES"/>
    </w:rPr>
  </w:style>
  <w:style w:type="paragraph" w:customStyle="1" w:styleId="Default">
    <w:name w:val="Default"/>
    <w:rsid w:val="00AD68F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D68F6"/>
    <w:pPr>
      <w:spacing w:before="100" w:beforeAutospacing="1" w:after="100" w:afterAutospacing="1"/>
    </w:pPr>
    <w:rPr>
      <w:lang w:eastAsia="es-MX"/>
    </w:rPr>
  </w:style>
  <w:style w:type="character" w:styleId="Textoennegrita">
    <w:name w:val="Strong"/>
    <w:basedOn w:val="Fuentedeprrafopredeter"/>
    <w:uiPriority w:val="22"/>
    <w:qFormat/>
    <w:rsid w:val="00AD68F6"/>
    <w:rPr>
      <w:b/>
      <w:bCs/>
    </w:rPr>
  </w:style>
  <w:style w:type="character" w:styleId="Hipervnculovisitado">
    <w:name w:val="FollowedHyperlink"/>
    <w:basedOn w:val="Fuentedeprrafopredeter"/>
    <w:rsid w:val="00F02191"/>
    <w:rPr>
      <w:color w:val="800080"/>
      <w:u w:val="single"/>
    </w:rPr>
  </w:style>
  <w:style w:type="paragraph" w:styleId="Textosinformato">
    <w:name w:val="Plain Text"/>
    <w:basedOn w:val="Normal"/>
    <w:link w:val="TextosinformatoCar"/>
    <w:uiPriority w:val="99"/>
    <w:unhideWhenUsed/>
    <w:rsid w:val="006E46A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E46A2"/>
    <w:rPr>
      <w:rFonts w:ascii="Consolas" w:eastAsia="Calibri" w:hAnsi="Consolas"/>
      <w:sz w:val="21"/>
      <w:szCs w:val="21"/>
      <w:lang w:eastAsia="en-US"/>
    </w:rPr>
  </w:style>
  <w:style w:type="paragraph" w:styleId="Prrafodelista">
    <w:name w:val="List Paragraph"/>
    <w:basedOn w:val="Normal"/>
    <w:uiPriority w:val="34"/>
    <w:qFormat/>
    <w:rsid w:val="00CA5EEF"/>
    <w:pPr>
      <w:ind w:left="720"/>
      <w:contextualSpacing/>
    </w:pPr>
  </w:style>
  <w:style w:type="paragraph" w:styleId="Textodeglobo">
    <w:name w:val="Balloon Text"/>
    <w:basedOn w:val="Normal"/>
    <w:link w:val="TextodegloboCar"/>
    <w:rsid w:val="0020338C"/>
    <w:rPr>
      <w:rFonts w:ascii="Tahoma" w:hAnsi="Tahoma" w:cs="Tahoma"/>
      <w:sz w:val="16"/>
      <w:szCs w:val="16"/>
    </w:rPr>
  </w:style>
  <w:style w:type="character" w:customStyle="1" w:styleId="TextodegloboCar">
    <w:name w:val="Texto de globo Car"/>
    <w:basedOn w:val="Fuentedeprrafopredeter"/>
    <w:link w:val="Textodeglobo"/>
    <w:rsid w:val="0020338C"/>
    <w:rPr>
      <w:rFonts w:ascii="Tahoma" w:hAnsi="Tahoma" w:cs="Tahoma"/>
      <w:sz w:val="16"/>
      <w:szCs w:val="16"/>
      <w:lang w:eastAsia="es-ES"/>
    </w:rPr>
  </w:style>
  <w:style w:type="character" w:styleId="Refdecomentario">
    <w:name w:val="annotation reference"/>
    <w:basedOn w:val="Fuentedeprrafopredeter"/>
    <w:rsid w:val="00D810D9"/>
    <w:rPr>
      <w:sz w:val="16"/>
      <w:szCs w:val="16"/>
    </w:rPr>
  </w:style>
  <w:style w:type="paragraph" w:styleId="Textocomentario">
    <w:name w:val="annotation text"/>
    <w:basedOn w:val="Normal"/>
    <w:link w:val="TextocomentarioCar"/>
    <w:rsid w:val="00D810D9"/>
    <w:rPr>
      <w:sz w:val="20"/>
      <w:szCs w:val="20"/>
    </w:rPr>
  </w:style>
  <w:style w:type="character" w:customStyle="1" w:styleId="TextocomentarioCar">
    <w:name w:val="Texto comentario Car"/>
    <w:basedOn w:val="Fuentedeprrafopredeter"/>
    <w:link w:val="Textocomentario"/>
    <w:rsid w:val="00D810D9"/>
    <w:rPr>
      <w:lang w:eastAsia="es-ES"/>
    </w:rPr>
  </w:style>
  <w:style w:type="paragraph" w:styleId="Asuntodelcomentario">
    <w:name w:val="annotation subject"/>
    <w:basedOn w:val="Textocomentario"/>
    <w:next w:val="Textocomentario"/>
    <w:link w:val="AsuntodelcomentarioCar"/>
    <w:rsid w:val="00D810D9"/>
    <w:rPr>
      <w:b/>
      <w:bCs/>
    </w:rPr>
  </w:style>
  <w:style w:type="character" w:customStyle="1" w:styleId="AsuntodelcomentarioCar">
    <w:name w:val="Asunto del comentario Car"/>
    <w:basedOn w:val="TextocomentarioCar"/>
    <w:link w:val="Asuntodelcomentario"/>
    <w:rsid w:val="00D810D9"/>
    <w:rPr>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7E6"/>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C5B8E"/>
    <w:rPr>
      <w:color w:val="0000FF"/>
      <w:u w:val="single"/>
    </w:rPr>
  </w:style>
  <w:style w:type="table" w:styleId="Tablaconcuadrcula">
    <w:name w:val="Table Grid"/>
    <w:basedOn w:val="Tablanormal"/>
    <w:rsid w:val="00AF3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53BA3"/>
    <w:pPr>
      <w:spacing w:after="200" w:line="276" w:lineRule="auto"/>
      <w:ind w:left="720"/>
      <w:contextualSpacing/>
    </w:pPr>
    <w:rPr>
      <w:rFonts w:ascii="Calibri" w:hAnsi="Calibri"/>
      <w:sz w:val="22"/>
      <w:szCs w:val="22"/>
      <w:lang w:eastAsia="en-US"/>
    </w:rPr>
  </w:style>
  <w:style w:type="paragraph" w:styleId="z-Finaldelformulario">
    <w:name w:val="HTML Bottom of Form"/>
    <w:basedOn w:val="Normal"/>
    <w:next w:val="Normal"/>
    <w:hidden/>
    <w:rsid w:val="00EE7714"/>
    <w:pPr>
      <w:pBdr>
        <w:top w:val="single" w:sz="6" w:space="1" w:color="auto"/>
      </w:pBdr>
      <w:jc w:val="center"/>
    </w:pPr>
    <w:rPr>
      <w:rFonts w:ascii="Arial" w:hAnsi="Arial" w:cs="Arial"/>
      <w:vanish/>
      <w:color w:val="000000"/>
      <w:sz w:val="16"/>
      <w:szCs w:val="16"/>
      <w:lang w:val="es-ES" w:eastAsia="ko-KR"/>
    </w:rPr>
  </w:style>
  <w:style w:type="paragraph" w:styleId="Textoindependiente2">
    <w:name w:val="Body Text 2"/>
    <w:basedOn w:val="Normal"/>
    <w:link w:val="Textoindependiente2Car"/>
    <w:rsid w:val="00EE7714"/>
    <w:pPr>
      <w:jc w:val="both"/>
    </w:pPr>
    <w:rPr>
      <w:rFonts w:ascii="Bookman Old Style" w:hAnsi="Bookman Old Style" w:cs="Arial"/>
      <w:szCs w:val="18"/>
      <w:lang w:val="es-ES_tradnl"/>
    </w:rPr>
  </w:style>
  <w:style w:type="character" w:customStyle="1" w:styleId="Textoindependiente2Car">
    <w:name w:val="Texto independiente 2 Car"/>
    <w:basedOn w:val="Fuentedeprrafopredeter"/>
    <w:link w:val="Textoindependiente2"/>
    <w:rsid w:val="00236D89"/>
    <w:rPr>
      <w:rFonts w:ascii="Bookman Old Style" w:hAnsi="Bookman Old Style" w:cs="Arial"/>
      <w:sz w:val="24"/>
      <w:szCs w:val="18"/>
      <w:lang w:val="es-ES_tradnl" w:eastAsia="es-ES"/>
    </w:rPr>
  </w:style>
  <w:style w:type="paragraph" w:styleId="Encabezado">
    <w:name w:val="header"/>
    <w:basedOn w:val="Normal"/>
    <w:link w:val="EncabezadoCar"/>
    <w:rsid w:val="00537DBD"/>
    <w:pPr>
      <w:tabs>
        <w:tab w:val="center" w:pos="4419"/>
        <w:tab w:val="right" w:pos="8838"/>
      </w:tabs>
    </w:pPr>
  </w:style>
  <w:style w:type="character" w:customStyle="1" w:styleId="EncabezadoCar">
    <w:name w:val="Encabezado Car"/>
    <w:basedOn w:val="Fuentedeprrafopredeter"/>
    <w:link w:val="Encabezado"/>
    <w:rsid w:val="00537DBD"/>
    <w:rPr>
      <w:sz w:val="24"/>
      <w:szCs w:val="24"/>
      <w:lang w:eastAsia="es-ES"/>
    </w:rPr>
  </w:style>
  <w:style w:type="paragraph" w:styleId="Piedepgina">
    <w:name w:val="footer"/>
    <w:basedOn w:val="Normal"/>
    <w:link w:val="PiedepginaCar"/>
    <w:uiPriority w:val="99"/>
    <w:rsid w:val="00537DBD"/>
    <w:pPr>
      <w:tabs>
        <w:tab w:val="center" w:pos="4419"/>
        <w:tab w:val="right" w:pos="8838"/>
      </w:tabs>
    </w:pPr>
  </w:style>
  <w:style w:type="character" w:customStyle="1" w:styleId="PiedepginaCar">
    <w:name w:val="Pie de página Car"/>
    <w:basedOn w:val="Fuentedeprrafopredeter"/>
    <w:link w:val="Piedepgina"/>
    <w:uiPriority w:val="99"/>
    <w:rsid w:val="00537DBD"/>
    <w:rPr>
      <w:sz w:val="24"/>
      <w:szCs w:val="24"/>
      <w:lang w:eastAsia="es-ES"/>
    </w:rPr>
  </w:style>
  <w:style w:type="paragraph" w:customStyle="1" w:styleId="Default">
    <w:name w:val="Default"/>
    <w:rsid w:val="00AD68F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D68F6"/>
    <w:pPr>
      <w:spacing w:before="100" w:beforeAutospacing="1" w:after="100" w:afterAutospacing="1"/>
    </w:pPr>
    <w:rPr>
      <w:lang w:eastAsia="es-MX"/>
    </w:rPr>
  </w:style>
  <w:style w:type="character" w:styleId="Textoennegrita">
    <w:name w:val="Strong"/>
    <w:basedOn w:val="Fuentedeprrafopredeter"/>
    <w:uiPriority w:val="22"/>
    <w:qFormat/>
    <w:rsid w:val="00AD68F6"/>
    <w:rPr>
      <w:b/>
      <w:bCs/>
    </w:rPr>
  </w:style>
  <w:style w:type="character" w:styleId="Hipervnculovisitado">
    <w:name w:val="FollowedHyperlink"/>
    <w:basedOn w:val="Fuentedeprrafopredeter"/>
    <w:rsid w:val="00F02191"/>
    <w:rPr>
      <w:color w:val="800080"/>
      <w:u w:val="single"/>
    </w:rPr>
  </w:style>
  <w:style w:type="paragraph" w:styleId="Textosinformato">
    <w:name w:val="Plain Text"/>
    <w:basedOn w:val="Normal"/>
    <w:link w:val="TextosinformatoCar"/>
    <w:uiPriority w:val="99"/>
    <w:unhideWhenUsed/>
    <w:rsid w:val="006E46A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E46A2"/>
    <w:rPr>
      <w:rFonts w:ascii="Consolas" w:eastAsia="Calibri" w:hAnsi="Consolas"/>
      <w:sz w:val="21"/>
      <w:szCs w:val="21"/>
      <w:lang w:eastAsia="en-US"/>
    </w:rPr>
  </w:style>
  <w:style w:type="paragraph" w:styleId="Prrafodelista">
    <w:name w:val="List Paragraph"/>
    <w:basedOn w:val="Normal"/>
    <w:uiPriority w:val="34"/>
    <w:qFormat/>
    <w:rsid w:val="00CA5EEF"/>
    <w:pPr>
      <w:ind w:left="720"/>
      <w:contextualSpacing/>
    </w:pPr>
  </w:style>
  <w:style w:type="paragraph" w:styleId="Textodeglobo">
    <w:name w:val="Balloon Text"/>
    <w:basedOn w:val="Normal"/>
    <w:link w:val="TextodegloboCar"/>
    <w:rsid w:val="0020338C"/>
    <w:rPr>
      <w:rFonts w:ascii="Tahoma" w:hAnsi="Tahoma" w:cs="Tahoma"/>
      <w:sz w:val="16"/>
      <w:szCs w:val="16"/>
    </w:rPr>
  </w:style>
  <w:style w:type="character" w:customStyle="1" w:styleId="TextodegloboCar">
    <w:name w:val="Texto de globo Car"/>
    <w:basedOn w:val="Fuentedeprrafopredeter"/>
    <w:link w:val="Textodeglobo"/>
    <w:rsid w:val="0020338C"/>
    <w:rPr>
      <w:rFonts w:ascii="Tahoma" w:hAnsi="Tahoma" w:cs="Tahoma"/>
      <w:sz w:val="16"/>
      <w:szCs w:val="16"/>
      <w:lang w:eastAsia="es-ES"/>
    </w:rPr>
  </w:style>
  <w:style w:type="character" w:styleId="Refdecomentario">
    <w:name w:val="annotation reference"/>
    <w:basedOn w:val="Fuentedeprrafopredeter"/>
    <w:rsid w:val="00D810D9"/>
    <w:rPr>
      <w:sz w:val="16"/>
      <w:szCs w:val="16"/>
    </w:rPr>
  </w:style>
  <w:style w:type="paragraph" w:styleId="Textocomentario">
    <w:name w:val="annotation text"/>
    <w:basedOn w:val="Normal"/>
    <w:link w:val="TextocomentarioCar"/>
    <w:rsid w:val="00D810D9"/>
    <w:rPr>
      <w:sz w:val="20"/>
      <w:szCs w:val="20"/>
    </w:rPr>
  </w:style>
  <w:style w:type="character" w:customStyle="1" w:styleId="TextocomentarioCar">
    <w:name w:val="Texto comentario Car"/>
    <w:basedOn w:val="Fuentedeprrafopredeter"/>
    <w:link w:val="Textocomentario"/>
    <w:rsid w:val="00D810D9"/>
    <w:rPr>
      <w:lang w:eastAsia="es-ES"/>
    </w:rPr>
  </w:style>
  <w:style w:type="paragraph" w:styleId="Asuntodelcomentario">
    <w:name w:val="annotation subject"/>
    <w:basedOn w:val="Textocomentario"/>
    <w:next w:val="Textocomentario"/>
    <w:link w:val="AsuntodelcomentarioCar"/>
    <w:rsid w:val="00D810D9"/>
    <w:rPr>
      <w:b/>
      <w:bCs/>
    </w:rPr>
  </w:style>
  <w:style w:type="character" w:customStyle="1" w:styleId="AsuntodelcomentarioCar">
    <w:name w:val="Asunto del comentario Car"/>
    <w:basedOn w:val="TextocomentarioCar"/>
    <w:link w:val="Asuntodelcomentario"/>
    <w:rsid w:val="00D810D9"/>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036">
      <w:bodyDiv w:val="1"/>
      <w:marLeft w:val="0"/>
      <w:marRight w:val="0"/>
      <w:marTop w:val="0"/>
      <w:marBottom w:val="0"/>
      <w:divBdr>
        <w:top w:val="none" w:sz="0" w:space="0" w:color="auto"/>
        <w:left w:val="none" w:sz="0" w:space="0" w:color="auto"/>
        <w:bottom w:val="none" w:sz="0" w:space="0" w:color="auto"/>
        <w:right w:val="none" w:sz="0" w:space="0" w:color="auto"/>
      </w:divBdr>
      <w:divsChild>
        <w:div w:id="614674582">
          <w:marLeft w:val="0"/>
          <w:marRight w:val="0"/>
          <w:marTop w:val="0"/>
          <w:marBottom w:val="0"/>
          <w:divBdr>
            <w:top w:val="none" w:sz="0" w:space="0" w:color="auto"/>
            <w:left w:val="none" w:sz="0" w:space="0" w:color="auto"/>
            <w:bottom w:val="none" w:sz="0" w:space="0" w:color="auto"/>
            <w:right w:val="none" w:sz="0" w:space="0" w:color="auto"/>
          </w:divBdr>
          <w:divsChild>
            <w:div w:id="777721468">
              <w:marLeft w:val="360"/>
              <w:marRight w:val="0"/>
              <w:marTop w:val="0"/>
              <w:marBottom w:val="0"/>
              <w:divBdr>
                <w:top w:val="none" w:sz="0" w:space="0" w:color="auto"/>
                <w:left w:val="none" w:sz="0" w:space="0" w:color="auto"/>
                <w:bottom w:val="none" w:sz="0" w:space="0" w:color="auto"/>
                <w:right w:val="none" w:sz="0" w:space="0" w:color="auto"/>
              </w:divBdr>
            </w:div>
          </w:divsChild>
        </w:div>
        <w:div w:id="123254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o_x0020_Validado xmlns="0dd6b0a0-0f08-40e1-be55-90a9814ebdfe">false</Archivo_x0020_Validado>
    <ImageCreateDate xmlns="0DD6B0A0-0F08-40E1-BE55-90A9814EBDFE" xsi:nil="true"/>
    <wic_System_Copyright xmlns="http://schemas.microsoft.com/sharepoint/v3/fields" xsi:nil="true"/>
    <_dlc_DocId xmlns="571982ab-478d-447f-affd-9b4427d393f9">CZZDVQSJMDTX-11-7317</_dlc_DocId>
    <_dlc_DocIdUrl xmlns="571982ab-478d-447f-affd-9b4427d393f9">
      <Url>http://www.coneval.org.mx/_layouts/DocIdRedir.aspx?ID=CZZDVQSJMDTX-11-7317</Url>
      <Description>CZZDVQSJMDTX-11-7317</Description>
    </_dlc_DocIdUrl>
    <clasificacion_documento xmlns="571982ab-478d-447f-affd-9b4427d393f9" xsi:nil="true"/>
    <tematica_documento xmlns="571982ab-478d-447f-affd-9b4427d393f9" xsi:nil="true"/>
    <titulo_pub_documento xmlns="571982ab-478d-447f-affd-9b4427d393f9" xsi:nil="true"/>
    <nombre_documento xmlns="571982ab-478d-447f-affd-9b4427d393f9">Posición Institucional</nombre_documento>
    <tema_documento xmlns="571982ab-478d-447f-affd-9b4427d393f9" xsi:nil="true"/>
    <area_documento xmlns="571982ab-478d-447f-affd-9b4427d393f9" xsi:nil="true"/>
    <abreviatura_documento xmlns="571982ab-478d-447f-affd-9b4427d393f9" xsi:nil="true"/>
    <tipo_evaluacion xmlns="571982ab-478d-447f-affd-9b4427d393f9" xsi:nil="true"/>
    <institucion_documento xmlns="571982ab-478d-447f-affd-9b4427d393f9">6</institucion_documento>
    <modalidad_documento xmlns="571982ab-478d-447f-affd-9b4427d393f9">9</modalidad_documento>
    <tipo_documento xmlns="571982ab-478d-447f-affd-9b4427d393f9">3</tipo_documento>
    <biblioteca_documento xmlns="571982ab-478d-447f-affd-9b4427d393f9">rw</biblioteca_documento>
    <ebook_documento xmlns="571982ab-478d-447f-affd-9b4427d393f9">
      <Url xsi:nil="true"/>
      <Description xsi:nil="true"/>
    </ebook_documento>
    <url_documento xmlns="571982ab-478d-447f-affd-9b4427d393f9">
      <Url>https://www.coneval.org.mx/rw/resource/Mecanismos_2013/CONACYT/U-003_Innovación%20Tecnológica%20para%20Negocios/38_U-003_PI.docx</Url>
      <Description>https://www.coneval.org.mx/rw/resource/Mecanismos_2013/CONACYT/U-003_Innovación Tecnológica para Negocios/38_U-003_PI.docx</Description>
    </url_documento>
    <descripcion_documento xmlns="571982ab-478d-447f-affd-9b4427d393f9" xsi:nil="true"/>
    <imagen_documento xmlns="571982ab-478d-447f-affd-9b4427d393f9">
      <Url>https://www.coneval.org.mx/Informes/posicioninstitucional.jpg</Url>
      <Description>https://www.coneval.org.mx/Informes/posicioninstitucional.jpg</Description>
    </imagen_documento>
    <numero_documento xmlns="571982ab-478d-447f-affd-9b4427d393f9" xsi:nil="true"/>
    <clave_documento xmlns="571982ab-478d-447f-affd-9b4427d393f9">61</clave_documento>
    <programa_documento xmlns="571982ab-478d-447f-affd-9b4427d393f9">401</programa_documento>
    <anio_documento xmlns="571982ab-478d-447f-affd-9b4427d393f9">2013</anio_documento>
    <titulo_documento xmlns="571982ab-478d-447f-affd-9b4427d393f9" xsi:nil="true"/>
    <PROGRAMAPB xmlns="571982ab-478d-447f-affd-9b4427d393f9" xsi:nil="true"/>
    <Tipo_x002d_Informe xmlns="0dd6b0a0-0f08-40e1-be55-90a9814ebdfe" xsi:nil="true"/>
    <Audiencias_x0020_de_x0020_destino xmlns="0dd6b0a0-0f08-40e1-be55-90a9814ebdfe" xsi:nil="true"/>
    <Poblar xmlns="0dd6b0a0-0f08-40e1-be55-90a9814ebdfe">No</Pobla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5D4FD38B1EB6E441830846C9C472A562" ma:contentTypeVersion="32" ma:contentTypeDescription="Cargar una imagen." ma:contentTypeScope="" ma:versionID="3f13595fe7fdfaf83c9cce8a7cf8952f">
  <xsd:schema xmlns:xsd="http://www.w3.org/2001/XMLSchema" xmlns:xs="http://www.w3.org/2001/XMLSchema" xmlns:p="http://schemas.microsoft.com/office/2006/metadata/properties" xmlns:ns1="http://schemas.microsoft.com/sharepoint/v3" xmlns:ns2="0DD6B0A0-0F08-40E1-BE55-90A9814EBDFE" xmlns:ns3="0dd6b0a0-0f08-40e1-be55-90a9814ebdfe" xmlns:ns4="http://schemas.microsoft.com/sharepoint/v3/fields" xmlns:ns5="571982ab-478d-447f-affd-9b4427d393f9" targetNamespace="http://schemas.microsoft.com/office/2006/metadata/properties" ma:root="true" ma:fieldsID="cdf648777fcd867f185cae15df61c752" ns1:_="" ns2:_="" ns3:_="" ns4:_="" ns5:_="">
    <xsd:import namespace="http://schemas.microsoft.com/sharepoint/v3"/>
    <xsd:import namespace="0DD6B0A0-0F08-40E1-BE55-90A9814EBDFE"/>
    <xsd:import namespace="0dd6b0a0-0f08-40e1-be55-90a9814ebdfe"/>
    <xsd:import namespace="http://schemas.microsoft.com/sharepoint/v3/fields"/>
    <xsd:import namespace="571982ab-478d-447f-affd-9b4427d393f9"/>
    <xsd:element name="properties">
      <xsd:complexType>
        <xsd:sequence>
          <xsd:element name="documentManagement">
            <xsd:complexType>
              <xsd:all>
                <xsd:element ref="ns3:Archivo_x0020_Validado"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4:wic_System_Copyright" minOccurs="0"/>
                <xsd:element ref="ns5:_dlc_DocId" minOccurs="0"/>
                <xsd:element ref="ns5:_dlc_DocIdUrl" minOccurs="0"/>
                <xsd:element ref="ns5:_dlc_DocIdPersistId" minOccurs="0"/>
                <xsd:element ref="ns5:abreviatura_documento" minOccurs="0"/>
                <xsd:element ref="ns5:anio_documento" minOccurs="0"/>
                <xsd:element ref="ns5:area_documento" minOccurs="0"/>
                <xsd:element ref="ns5:biblioteca_documento" minOccurs="0"/>
                <xsd:element ref="ns5:clasificacion_documento" minOccurs="0"/>
                <xsd:element ref="ns5:clave_documento" minOccurs="0"/>
                <xsd:element ref="ns5:descripcion_documento" minOccurs="0"/>
                <xsd:element ref="ns5:titulo_documento" minOccurs="0"/>
                <xsd:element ref="ns5:ebook_documento" minOccurs="0"/>
                <xsd:element ref="ns5:imagen_documento" minOccurs="0"/>
                <xsd:element ref="ns5:institucion_documento" minOccurs="0"/>
                <xsd:element ref="ns5:modalidad_documento" minOccurs="0"/>
                <xsd:element ref="ns5:numero_documento" minOccurs="0"/>
                <xsd:element ref="ns5:nombre_documento" minOccurs="0"/>
                <xsd:element ref="ns5:programa_documento" minOccurs="0"/>
                <xsd:element ref="ns5:tema_documento" minOccurs="0"/>
                <xsd:element ref="ns5:tematica_documento" minOccurs="0"/>
                <xsd:element ref="ns5:tipo_documento" minOccurs="0"/>
                <xsd:element ref="ns5:tipo_evaluacion" minOccurs="0"/>
                <xsd:element ref="ns5:titulo_pub_documento" minOccurs="0"/>
                <xsd:element ref="ns5:url_documento" minOccurs="0"/>
                <xsd:element ref="ns5:PROGRAMAPB" minOccurs="0"/>
                <xsd:element ref="ns3:Tipo_x002d_Informe" minOccurs="0"/>
                <xsd:element ref="ns3:Audiencias_x0020_de_x0020_destino" minOccurs="0"/>
                <xsd:element ref="ns3:Pob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Archivo_x0020_Validado" ma:index="2" nillable="true" ma:displayName="Archivo Validado" ma:default="0" ma:description="Indicar si el archivo se pudo abrir y/o descargar correctamente." ma:internalName="Archivo_x0020_Validado">
      <xsd:simpleType>
        <xsd:restriction base="dms:Boolean"/>
      </xsd:simpleType>
    </xsd:element>
    <xsd:element name="Tipo_x002d_Informe" ma:index="53" nillable="true" ma:displayName="Tipo-Informe" ma:format="Dropdown" ma:indexed="true" ma:internalName="Tipo_x002d_Informe">
      <xsd:simpleType>
        <xsd:restriction base="dms:Choice">
          <xsd:enumeration value="Informe Completo"/>
          <xsd:enumeration value="Informe Ejecutivo"/>
          <xsd:enumeration value="Opinión de la Dependencia"/>
        </xsd:restriction>
      </xsd:simpleType>
    </xsd:element>
    <xsd:element name="Audiencias_x0020_de_x0020_destino" ma:index="54" nillable="true" ma:displayName="Audiencias de destino" ma:internalName="Audiencias_x0020_de_x0020_destino">
      <xsd:simpleType>
        <xsd:restriction base="dms:Unknown"/>
      </xsd:simpleType>
    </xsd:element>
    <xsd:element name="Poblar" ma:index="55" nillable="true" ma:displayName="Poblar" ma:internalName="Pobl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82ab-478d-447f-affd-9b4427d393f9"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Identificador persistente" ma:description="Mantener el identificador al agregar." ma:hidden="true" ma:internalName="_dlc_DocIdPersistId" ma:readOnly="true">
      <xsd:simpleType>
        <xsd:restriction base="dms:Boolean"/>
      </xsd:simpleType>
    </xsd:element>
    <xsd:element name="abreviatura_documento" ma:index="31" nillable="true" ma:displayName="Abreviatura" ma:internalName="abreviatura_documento">
      <xsd:simpleType>
        <xsd:restriction base="dms:Text">
          <xsd:maxLength value="255"/>
        </xsd:restriction>
      </xsd:simpleType>
    </xsd:element>
    <xsd:element name="anio_documento" ma:index="32" nillable="true" ma:displayName="Año" ma:format="Dropdown" ma:internalName="anio_documento">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area_documento" ma:index="33" nillable="true" ma:displayName="Área" ma:internalName="area_documento">
      <xsd:simpleType>
        <xsd:restriction base="dms:Text">
          <xsd:maxLength value="255"/>
        </xsd:restriction>
      </xsd:simpleType>
    </xsd:element>
    <xsd:element name="biblioteca_documento" ma:index="34" nillable="true" ma:displayName="Biblioteca" ma:internalName="biblioteca_documento">
      <xsd:simpleType>
        <xsd:restriction base="dms:Text">
          <xsd:maxLength value="255"/>
        </xsd:restriction>
      </xsd:simpleType>
    </xsd:element>
    <xsd:element name="clasificacion_documento" ma:index="35" nillable="true" ma:displayName="Clasificación" ma:internalName="clasificacion_documento">
      <xsd:simpleType>
        <xsd:restriction base="dms:Text">
          <xsd:maxLength value="255"/>
        </xsd:restriction>
      </xsd:simpleType>
    </xsd:element>
    <xsd:element name="clave_documento" ma:index="36" nillable="true" ma:displayName="Clave" ma:list="{19d008c2-64a5-4763-bb02-e7005fbad349}" ma:internalName="clave_documento" ma:showField="Title" ma:web="571982ab-478d-447f-affd-9b4427d393f9">
      <xsd:simpleType>
        <xsd:restriction base="dms:Lookup"/>
      </xsd:simpleType>
    </xsd:element>
    <xsd:element name="descripcion_documento" ma:index="37" nillable="true" ma:displayName="Descripción publicación" ma:internalName="descripcion_documento">
      <xsd:simpleType>
        <xsd:restriction base="dms:Note">
          <xsd:maxLength value="255"/>
        </xsd:restriction>
      </xsd:simpleType>
    </xsd:element>
    <xsd:element name="titulo_documento" ma:index="38" nillable="true" ma:displayName="Documento" ma:internalName="titulo_documento">
      <xsd:simpleType>
        <xsd:restriction base="dms:Text">
          <xsd:maxLength value="255"/>
        </xsd:restriction>
      </xsd:simpleType>
    </xsd:element>
    <xsd:element name="ebook_documento" ma:index="39" nillable="true" ma:displayName="Ebook" ma:format="Hyperlink" ma:internalName="ebook_documento">
      <xsd:complexType>
        <xsd:complexContent>
          <xsd:extension base="dms:URL">
            <xsd:sequence>
              <xsd:element name="Url" type="dms:ValidUrl" minOccurs="0" nillable="true"/>
              <xsd:element name="Description" type="xsd:string" nillable="true"/>
            </xsd:sequence>
          </xsd:extension>
        </xsd:complexContent>
      </xsd:complexType>
    </xsd:element>
    <xsd:element name="imagen_documento" ma:index="40" nillable="true" ma:displayName="Imagen documento" ma:format="Image" ma:internalName="imagen_documento">
      <xsd:complexType>
        <xsd:complexContent>
          <xsd:extension base="dms:URL">
            <xsd:sequence>
              <xsd:element name="Url" type="dms:ValidUrl" minOccurs="0" nillable="true"/>
              <xsd:element name="Description" type="xsd:string" nillable="true"/>
            </xsd:sequence>
          </xsd:extension>
        </xsd:complexContent>
      </xsd:complexType>
    </xsd:element>
    <xsd:element name="institucion_documento" ma:index="41" nillable="true" ma:displayName="Institución" ma:list="{eea6c94e-3d77-456b-b385-685db4922f18}" ma:internalName="institucion_documento" ma:showField="Title" ma:web="571982ab-478d-447f-affd-9b4427d393f9">
      <xsd:simpleType>
        <xsd:restriction base="dms:Lookup"/>
      </xsd:simpleType>
    </xsd:element>
    <xsd:element name="modalidad_documento" ma:index="42" nillable="true" ma:displayName="Modalidad" ma:list="{528c669a-fc94-4a9a-9ab5-f593d5619e91}" ma:internalName="modalidad_documento" ma:showField="Title" ma:web="571982ab-478d-447f-affd-9b4427d393f9">
      <xsd:simpleType>
        <xsd:restriction base="dms:Lookup"/>
      </xsd:simpleType>
    </xsd:element>
    <xsd:element name="numero_documento" ma:index="43" nillable="true" ma:displayName="No." ma:internalName="numero_documento">
      <xsd:simpleType>
        <xsd:restriction base="dms:Text">
          <xsd:maxLength value="255"/>
        </xsd:restriction>
      </xsd:simpleType>
    </xsd:element>
    <xsd:element name="nombre_documento" ma:index="44" nillable="true" ma:displayName="Nombre Documento" ma:internalName="nombre_documento">
      <xsd:simpleType>
        <xsd:restriction base="dms:Text">
          <xsd:maxLength value="255"/>
        </xsd:restriction>
      </xsd:simpleType>
    </xsd:element>
    <xsd:element name="programa_documento" ma:index="45" nillable="true" ma:displayName="Programa_Historico" ma:list="{a331bbc2-d474-4dfb-9db9-10cbcbecbc0e}" ma:internalName="programa_documento" ma:showField="Title" ma:web="571982ab-478d-447f-affd-9b4427d393f9">
      <xsd:simpleType>
        <xsd:restriction base="dms:Lookup"/>
      </xsd:simpleType>
    </xsd:element>
    <xsd:element name="tema_documento" ma:index="46" nillable="true" ma:displayName="Tema" ma:list="{0ed0c298-861e-4e55-bc63-09b547597927}" ma:internalName="tema_documento" ma:showField="Title" ma:web="571982ab-478d-447f-affd-9b4427d393f9">
      <xsd:simpleType>
        <xsd:restriction base="dms:Lookup"/>
      </xsd:simpleType>
    </xsd:element>
    <xsd:element name="tematica_documento" ma:index="47" nillable="true" ma:displayName="Temática" ma:list="{4f65a60e-ab52-4d23-b095-ec9180a76ae5}" ma:internalName="tematica_documento" ma:showField="Title" ma:web="571982ab-478d-447f-affd-9b4427d393f9">
      <xsd:simpleType>
        <xsd:restriction base="dms:Lookup"/>
      </xsd:simpleType>
    </xsd:element>
    <xsd:element name="tipo_documento" ma:index="48" nillable="true" ma:displayName="Tipo documento" ma:list="{8a8f7f01-5d58-4b3f-bf49-d65d8bdcf195}" ma:internalName="tipo_documento" ma:showField="Title" ma:web="571982ab-478d-447f-affd-9b4427d393f9">
      <xsd:simpleType>
        <xsd:restriction base="dms:Lookup"/>
      </xsd:simpleType>
    </xsd:element>
    <xsd:element name="tipo_evaluacion" ma:index="49" nillable="true" ma:displayName="Tipo evaluación" ma:list="{b504be78-6a56-4ccf-9c6a-f5d417ced2bd}" ma:internalName="tipo_evaluacion" ma:showField="Title" ma:web="571982ab-478d-447f-affd-9b4427d393f9">
      <xsd:simpleType>
        <xsd:restriction base="dms:Lookup"/>
      </xsd:simpleType>
    </xsd:element>
    <xsd:element name="titulo_pub_documento" ma:index="50" nillable="true" ma:displayName="Título publicación" ma:internalName="titulo_pub_documento">
      <xsd:simpleType>
        <xsd:restriction base="dms:Text">
          <xsd:maxLength value="255"/>
        </xsd:restriction>
      </xsd:simpleType>
    </xsd:element>
    <xsd:element name="url_documento" ma:index="51" nillable="true" ma:displayName="URL documento" ma:format="Hyperlink" ma:internalName="url_documento">
      <xsd:complexType>
        <xsd:complexContent>
          <xsd:extension base="dms:URL">
            <xsd:sequence>
              <xsd:element name="Url" type="dms:ValidUrl" minOccurs="0" nillable="true"/>
              <xsd:element name="Description" type="xsd:string" nillable="true"/>
            </xsd:sequence>
          </xsd:extension>
        </xsd:complexContent>
      </xsd:complexType>
    </xsd:element>
    <xsd:element name="PROGRAMAPB" ma:index="52" nillable="true" ma:displayName="Programa" ma:internalName="PROGRAMAP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or"/>
        <xsd:element ref="dcterms:created" minOccurs="0" maxOccurs="1"/>
        <xsd:element ref="dc:identifier" minOccurs="0" maxOccurs="1"/>
        <xsd:element name="contentType" minOccurs="0" maxOccurs="1" type="xsd:string" ma:index="30" ma:displayName="Tipo de contenido"/>
        <xsd:element ref="dc:title" minOccurs="0" maxOccurs="1" ma:index="1" ma:displayName="Título"/>
        <xsd:element ref="dc:subject" minOccurs="0" maxOccurs="1"/>
        <xsd:element ref="dc:description" minOccurs="0" maxOccurs="1" ma:index="6" ma:displayName="Comentarios"/>
        <xsd:element name="keywords" minOccurs="0" maxOccurs="1" type="xsd:string"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BCF5F-1F08-4280-B76D-F2A9936C88B9}"/>
</file>

<file path=customXml/itemProps2.xml><?xml version="1.0" encoding="utf-8"?>
<ds:datastoreItem xmlns:ds="http://schemas.openxmlformats.org/officeDocument/2006/customXml" ds:itemID="{3871C2A4-C64C-4CBF-A594-CBC032F94A3A}"/>
</file>

<file path=customXml/itemProps3.xml><?xml version="1.0" encoding="utf-8"?>
<ds:datastoreItem xmlns:ds="http://schemas.openxmlformats.org/officeDocument/2006/customXml" ds:itemID="{9B8CCC17-A535-485E-9B97-09CC0A3A6FE0}"/>
</file>

<file path=customXml/itemProps4.xml><?xml version="1.0" encoding="utf-8"?>
<ds:datastoreItem xmlns:ds="http://schemas.openxmlformats.org/officeDocument/2006/customXml" ds:itemID="{93C79BED-5E61-4716-915B-4C98108B9BED}"/>
</file>

<file path=docProps/app.xml><?xml version="1.0" encoding="utf-8"?>
<Properties xmlns="http://schemas.openxmlformats.org/officeDocument/2006/extended-properties" xmlns:vt="http://schemas.openxmlformats.org/officeDocument/2006/docPropsVTypes">
  <Template>Normal</Template>
  <TotalTime>193</TotalTime>
  <Pages>4</Pages>
  <Words>1548</Words>
  <Characters>8519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Estimado Adrian</vt:lpstr>
    </vt:vector>
  </TitlesOfParts>
  <Company>CONACYT</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Adrian</dc:title>
  <dc:creator>Adrian Chamorro Casas</dc:creator>
  <cp:lastModifiedBy>Alejandro Carlos Farias Zuñiga</cp:lastModifiedBy>
  <cp:revision>4</cp:revision>
  <cp:lastPrinted>2014-04-21T22:01:00Z</cp:lastPrinted>
  <dcterms:created xsi:type="dcterms:W3CDTF">2014-04-21T21:29:00Z</dcterms:created>
  <dcterms:modified xsi:type="dcterms:W3CDTF">2014-04-22T01:14:00Z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0x0101009148F5A04DDD49CBA7127AADA5FB792B00AADE34325A8B49CDA8BB4DB53328F214005D4FD38B1EB6E441830846C9C472A562</vt:lpwstr>
  </property>
  <property fmtid="{D5CDD505-2E9C-101B-9397-08002B2CF9AE}" pid="3" name="_dlc_DocIdItemGuid">
    <vt:lpwstr>a8491bbc-8092-42e9-8729-eeb9ac7ff300</vt:lpwstr>
  </property>
</Properties>
</file>